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C7B" w:rsidRDefault="00B54C7B"/>
    <w:p w:rsidR="00B54C7B" w:rsidRDefault="00B54C7B"/>
    <w:p w:rsidR="00B54C7B" w:rsidRDefault="00B54C7B"/>
    <w:p w:rsidR="00B54C7B" w:rsidRDefault="00B54C7B"/>
    <w:p w:rsidR="00B54C7B" w:rsidRDefault="00B54C7B"/>
    <w:p w:rsidR="00B54C7B" w:rsidRDefault="00B54C7B"/>
    <w:p w:rsidR="00B54C7B" w:rsidRDefault="00B54C7B"/>
    <w:p w:rsidR="00B54C7B" w:rsidRPr="00B54C7B" w:rsidRDefault="00B54C7B" w:rsidP="00B54C7B">
      <w:pPr>
        <w:ind w:left="993"/>
        <w:rPr>
          <w:color w:val="1A2A6A"/>
          <w:sz w:val="48"/>
          <w:szCs w:val="48"/>
        </w:rPr>
      </w:pPr>
      <w:r>
        <w:rPr>
          <w:color w:val="1A2A6A"/>
          <w:sz w:val="48"/>
          <w:szCs w:val="48"/>
        </w:rPr>
        <w:t xml:space="preserve">Jaarverslag </w:t>
      </w:r>
      <w:r w:rsidR="003F2C7F">
        <w:rPr>
          <w:color w:val="1A2A6A"/>
          <w:sz w:val="48"/>
          <w:szCs w:val="48"/>
        </w:rPr>
        <w:t>b</w:t>
      </w:r>
      <w:r w:rsidRPr="00B54C7B">
        <w:rPr>
          <w:color w:val="1A2A6A"/>
          <w:sz w:val="48"/>
          <w:szCs w:val="48"/>
        </w:rPr>
        <w:t>est execution aandelen</w:t>
      </w:r>
    </w:p>
    <w:p w:rsidR="003C229D" w:rsidRDefault="003C229D" w:rsidP="00B54C7B">
      <w:pPr>
        <w:ind w:left="993"/>
        <w:rPr>
          <w:color w:val="1A2A6A"/>
          <w:sz w:val="40"/>
          <w:szCs w:val="48"/>
        </w:rPr>
      </w:pPr>
    </w:p>
    <w:p w:rsidR="00B54C7B" w:rsidRPr="003C229D" w:rsidRDefault="00B54C7B" w:rsidP="00B54C7B">
      <w:pPr>
        <w:ind w:left="993"/>
        <w:rPr>
          <w:color w:val="1A2A6A"/>
          <w:sz w:val="40"/>
          <w:szCs w:val="48"/>
        </w:rPr>
      </w:pPr>
      <w:r w:rsidRPr="003C229D">
        <w:rPr>
          <w:color w:val="1A2A6A"/>
          <w:sz w:val="40"/>
          <w:szCs w:val="48"/>
        </w:rPr>
        <w:t>Mn Services Vermogensbeheer B.V.</w:t>
      </w:r>
    </w:p>
    <w:p w:rsidR="00B54C7B" w:rsidRDefault="00B54C7B" w:rsidP="00B54C7B">
      <w:pPr>
        <w:ind w:left="993"/>
      </w:pPr>
    </w:p>
    <w:p w:rsidR="00B54C7B" w:rsidRDefault="00B2506C" w:rsidP="00B54C7B">
      <w:pPr>
        <w:ind w:left="993"/>
      </w:pPr>
      <w:bookmarkStart w:id="0" w:name="_GoBack"/>
      <w:r w:rsidRPr="00B54C7B">
        <w:rPr>
          <w:noProof/>
          <w:lang w:eastAsia="nl-NL"/>
        </w:rPr>
        <w:drawing>
          <wp:anchor distT="0" distB="0" distL="114300" distR="114300" simplePos="0" relativeHeight="251661312" behindDoc="1" locked="0" layoutInCell="1" allowOverlap="1" wp14:anchorId="1941BADC" wp14:editId="09AA3A67">
            <wp:simplePos x="0" y="0"/>
            <wp:positionH relativeFrom="page">
              <wp:posOffset>807720</wp:posOffset>
            </wp:positionH>
            <wp:positionV relativeFrom="page">
              <wp:posOffset>3459480</wp:posOffset>
            </wp:positionV>
            <wp:extent cx="6115050" cy="4324350"/>
            <wp:effectExtent l="0" t="0" r="0" b="0"/>
            <wp:wrapNone/>
            <wp:docPr id="21" name="Month" descr="P:\MN\_Internal\Images\MN_maandrapportage_illu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N\_Internal\Images\MN_maandrapportage_illu_rgb.jpg"/>
                    <pic:cNvPicPr>
                      <a:picLocks noChangeAspect="1" noChangeArrowheads="1"/>
                    </pic:cNvPicPr>
                  </pic:nvPicPr>
                  <pic:blipFill>
                    <a:blip r:embed="rId8" cstate="print"/>
                    <a:srcRect/>
                    <a:stretch>
                      <a:fillRect/>
                    </a:stretch>
                  </pic:blipFill>
                  <pic:spPr bwMode="auto">
                    <a:xfrm>
                      <a:off x="0" y="0"/>
                      <a:ext cx="6115050" cy="4324350"/>
                    </a:xfrm>
                    <a:prstGeom prst="rect">
                      <a:avLst/>
                    </a:prstGeom>
                    <a:noFill/>
                    <a:ln w="9525">
                      <a:noFill/>
                      <a:miter lim="800000"/>
                      <a:headEnd/>
                      <a:tailEnd/>
                    </a:ln>
                  </pic:spPr>
                </pic:pic>
              </a:graphicData>
            </a:graphic>
          </wp:anchor>
        </w:drawing>
      </w:r>
      <w:bookmarkEnd w:id="0"/>
    </w:p>
    <w:p w:rsidR="00B54C7B" w:rsidRDefault="00B54C7B" w:rsidP="00B54C7B">
      <w:pPr>
        <w:ind w:left="993"/>
      </w:pPr>
    </w:p>
    <w:p w:rsidR="00B54C7B" w:rsidRDefault="00B54C7B" w:rsidP="00B54C7B">
      <w:pPr>
        <w:ind w:left="993"/>
      </w:pPr>
    </w:p>
    <w:p w:rsidR="00B54C7B" w:rsidRDefault="00B54C7B" w:rsidP="00B54C7B">
      <w:pPr>
        <w:ind w:left="993"/>
        <w:jc w:val="right"/>
        <w:rPr>
          <w:color w:val="1A2A6A"/>
          <w:sz w:val="44"/>
        </w:rPr>
      </w:pPr>
      <w:r w:rsidRPr="003C229D">
        <w:rPr>
          <w:color w:val="1A2A6A"/>
          <w:sz w:val="48"/>
        </w:rPr>
        <w:t>201</w:t>
      </w:r>
      <w:r w:rsidR="00324EDD">
        <w:rPr>
          <w:color w:val="1A2A6A"/>
          <w:sz w:val="48"/>
        </w:rPr>
        <w:t>8</w:t>
      </w:r>
      <w:r w:rsidRPr="003C229D">
        <w:rPr>
          <w:color w:val="1A2A6A"/>
          <w:sz w:val="48"/>
        </w:rPr>
        <w:t xml:space="preserve"> </w:t>
      </w:r>
      <w:r w:rsidRPr="00B54C7B">
        <w:rPr>
          <w:color w:val="1A2A6A"/>
          <w:sz w:val="44"/>
        </w:rPr>
        <w:t xml:space="preserve">| </w:t>
      </w:r>
      <w:r w:rsidR="00324EDD">
        <w:rPr>
          <w:color w:val="1A2A6A"/>
          <w:sz w:val="40"/>
        </w:rPr>
        <w:t>01</w:t>
      </w:r>
      <w:r w:rsidRPr="003C229D">
        <w:rPr>
          <w:color w:val="1A2A6A"/>
          <w:sz w:val="40"/>
        </w:rPr>
        <w:t xml:space="preserve"> april 201</w:t>
      </w:r>
      <w:r w:rsidR="00557F8A">
        <w:rPr>
          <w:color w:val="1A2A6A"/>
          <w:sz w:val="40"/>
        </w:rPr>
        <w:t>9</w:t>
      </w:r>
    </w:p>
    <w:p w:rsidR="00416376" w:rsidRDefault="00B54C7B" w:rsidP="00B54C7B">
      <w:r w:rsidRPr="00B54C7B">
        <w:rPr>
          <w:noProof/>
          <w:lang w:eastAsia="nl-NL"/>
        </w:rPr>
        <w:drawing>
          <wp:anchor distT="0" distB="0" distL="114300" distR="114300" simplePos="0" relativeHeight="251659264" behindDoc="1" locked="0" layoutInCell="1" allowOverlap="1" wp14:anchorId="7ECDF7E8" wp14:editId="3EAC8567">
            <wp:simplePos x="0" y="0"/>
            <wp:positionH relativeFrom="page">
              <wp:posOffset>914400</wp:posOffset>
            </wp:positionH>
            <wp:positionV relativeFrom="page">
              <wp:posOffset>914400</wp:posOffset>
            </wp:positionV>
            <wp:extent cx="1118870" cy="819150"/>
            <wp:effectExtent l="19050" t="0" r="5080" b="0"/>
            <wp:wrapNone/>
            <wp:docPr id="22" name="Picture 2" descr="M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_rgb.jpg"/>
                    <pic:cNvPicPr/>
                  </pic:nvPicPr>
                  <pic:blipFill>
                    <a:blip r:embed="rId9" cstate="print"/>
                    <a:stretch>
                      <a:fillRect/>
                    </a:stretch>
                  </pic:blipFill>
                  <pic:spPr>
                    <a:xfrm>
                      <a:off x="0" y="0"/>
                      <a:ext cx="1118870" cy="819150"/>
                    </a:xfrm>
                    <a:prstGeom prst="rect">
                      <a:avLst/>
                    </a:prstGeom>
                  </pic:spPr>
                </pic:pic>
              </a:graphicData>
            </a:graphic>
          </wp:anchor>
        </w:drawing>
      </w:r>
    </w:p>
    <w:p w:rsidR="00B54C7B" w:rsidRDefault="00B54C7B">
      <w:pPr>
        <w:spacing w:after="160" w:line="259" w:lineRule="auto"/>
      </w:pPr>
      <w:r>
        <w:br w:type="page"/>
      </w:r>
    </w:p>
    <w:p w:rsidR="00BB1B5C" w:rsidRDefault="00BB1B5C" w:rsidP="00BB1B5C">
      <w:pPr>
        <w:spacing w:after="160" w:line="259" w:lineRule="auto"/>
      </w:pPr>
      <w:r w:rsidRPr="001F5E8B">
        <w:rPr>
          <w:color w:val="1A2A6A"/>
          <w:sz w:val="48"/>
          <w:szCs w:val="48"/>
        </w:rPr>
        <w:lastRenderedPageBreak/>
        <w:t>Jaarlijkse publicatie Top 5 plaatsen van uitvoering financiële instrumenten</w:t>
      </w:r>
    </w:p>
    <w:p w:rsidR="00BB1B5C" w:rsidRDefault="00BB1B5C" w:rsidP="0089516A">
      <w:r>
        <w:t xml:space="preserve">Als gevolg van de EU Markets in Financial </w:t>
      </w:r>
      <w:r w:rsidRPr="00D56643">
        <w:t>Instruments</w:t>
      </w:r>
      <w:r>
        <w:t xml:space="preserve"> Directive 2014/65/EU (MiFID II) is vereist dat beleggingsondernemingen, die orders van cliënten uitvoeren, jaarlijks voor elke categorie financiële instrumenten een overzicht opstellen van de belangrijkste vijf plaatsen van uitvoering in termen van handelsvolumes waar zij tijdens het voorgaande jaar orders van cliënten hebben uitgevoerd en dat overzicht openbaar maken. Het overzicht dient tevens informatie te geven over de kwaliteit van de uitvoering. </w:t>
      </w:r>
    </w:p>
    <w:p w:rsidR="0089516A" w:rsidRDefault="0089516A" w:rsidP="0089516A"/>
    <w:p w:rsidR="00EA345A" w:rsidRDefault="00BB1B5C" w:rsidP="0089516A">
      <w:r>
        <w:t>De volgende informatie is gepubliceerd in overeenstemming met de technische standaarden zoals beschreven in de Commission Delegated Regulation EU/2017/576 (RTS 28) en is gebaseerd op  het aanbieden van beleggingsdiensten aan professionele klanten over kalenderjaar 201</w:t>
      </w:r>
      <w:r w:rsidR="00324EDD">
        <w:t>8</w:t>
      </w:r>
      <w:r>
        <w:t>.</w:t>
      </w:r>
    </w:p>
    <w:p w:rsidR="007E6611" w:rsidRDefault="007E6611">
      <w:pPr>
        <w:spacing w:after="160" w:line="259" w:lineRule="auto"/>
      </w:pPr>
      <w:r>
        <w:br w:type="page"/>
      </w:r>
    </w:p>
    <w:p w:rsidR="00B54C7B" w:rsidRDefault="00B54C7B" w:rsidP="00B54C7B">
      <w:pPr>
        <w:rPr>
          <w:color w:val="1A2A6A"/>
          <w:sz w:val="48"/>
          <w:szCs w:val="48"/>
        </w:rPr>
      </w:pPr>
      <w:r w:rsidRPr="00B54C7B">
        <w:rPr>
          <w:color w:val="1A2A6A"/>
          <w:sz w:val="48"/>
          <w:szCs w:val="48"/>
        </w:rPr>
        <w:lastRenderedPageBreak/>
        <w:t>Inhoudsopgave</w:t>
      </w:r>
    </w:p>
    <w:p w:rsidR="001843FA" w:rsidRPr="00B54C7B" w:rsidRDefault="001843FA" w:rsidP="00B54C7B">
      <w:pPr>
        <w:rPr>
          <w:color w:val="1A2A6A"/>
          <w:sz w:val="48"/>
          <w:szCs w:val="48"/>
        </w:rPr>
      </w:pPr>
    </w:p>
    <w:p w:rsidR="00C97E35" w:rsidRDefault="00C97E35">
      <w:pPr>
        <w:pStyle w:val="TOC1"/>
        <w:tabs>
          <w:tab w:val="left" w:pos="440"/>
          <w:tab w:val="right" w:leader="dot" w:pos="9016"/>
        </w:tabs>
        <w:rPr>
          <w:rFonts w:asciiTheme="minorHAnsi" w:eastAsiaTheme="minorEastAsia" w:hAnsiTheme="minorHAnsi" w:cstheme="minorBidi"/>
          <w:noProof/>
          <w:sz w:val="22"/>
          <w:lang w:eastAsia="nl-NL"/>
        </w:rPr>
      </w:pPr>
      <w:r>
        <w:fldChar w:fldCharType="begin"/>
      </w:r>
      <w:r>
        <w:instrText xml:space="preserve"> TOC \o "1-2" \h \z \u </w:instrText>
      </w:r>
      <w:r>
        <w:fldChar w:fldCharType="separate"/>
      </w:r>
      <w:hyperlink w:anchor="_Toc512724356" w:history="1">
        <w:r w:rsidRPr="00F40678">
          <w:rPr>
            <w:rStyle w:val="Hyperlink"/>
            <w:noProof/>
          </w:rPr>
          <w:t>1</w:t>
        </w:r>
        <w:r>
          <w:rPr>
            <w:rFonts w:asciiTheme="minorHAnsi" w:eastAsiaTheme="minorEastAsia" w:hAnsiTheme="minorHAnsi" w:cstheme="minorBidi"/>
            <w:noProof/>
            <w:sz w:val="22"/>
            <w:lang w:eastAsia="nl-NL"/>
          </w:rPr>
          <w:tab/>
        </w:r>
        <w:r w:rsidRPr="00F40678">
          <w:rPr>
            <w:rStyle w:val="Hyperlink"/>
            <w:noProof/>
          </w:rPr>
          <w:t>Selectiecriteria van tegenpartijen</w:t>
        </w:r>
        <w:r>
          <w:rPr>
            <w:noProof/>
            <w:webHidden/>
          </w:rPr>
          <w:tab/>
        </w:r>
        <w:r>
          <w:rPr>
            <w:noProof/>
            <w:webHidden/>
          </w:rPr>
          <w:fldChar w:fldCharType="begin"/>
        </w:r>
        <w:r>
          <w:rPr>
            <w:noProof/>
            <w:webHidden/>
          </w:rPr>
          <w:instrText xml:space="preserve"> PAGEREF _Toc512724356 \h </w:instrText>
        </w:r>
        <w:r>
          <w:rPr>
            <w:noProof/>
            <w:webHidden/>
          </w:rPr>
        </w:r>
        <w:r>
          <w:rPr>
            <w:noProof/>
            <w:webHidden/>
          </w:rPr>
          <w:fldChar w:fldCharType="separate"/>
        </w:r>
        <w:r w:rsidR="00BA291F">
          <w:rPr>
            <w:noProof/>
            <w:webHidden/>
          </w:rPr>
          <w:t>4</w:t>
        </w:r>
        <w:r>
          <w:rPr>
            <w:noProof/>
            <w:webHidden/>
          </w:rPr>
          <w:fldChar w:fldCharType="end"/>
        </w:r>
      </w:hyperlink>
    </w:p>
    <w:p w:rsidR="00C97E35" w:rsidRDefault="0093266D">
      <w:pPr>
        <w:pStyle w:val="TOC1"/>
        <w:tabs>
          <w:tab w:val="left" w:pos="440"/>
          <w:tab w:val="right" w:leader="dot" w:pos="9016"/>
        </w:tabs>
        <w:rPr>
          <w:rFonts w:asciiTheme="minorHAnsi" w:eastAsiaTheme="minorEastAsia" w:hAnsiTheme="minorHAnsi" w:cstheme="minorBidi"/>
          <w:noProof/>
          <w:sz w:val="22"/>
          <w:lang w:eastAsia="nl-NL"/>
        </w:rPr>
      </w:pPr>
      <w:hyperlink w:anchor="_Toc512724357" w:history="1">
        <w:r w:rsidR="00C97E35" w:rsidRPr="00F40678">
          <w:rPr>
            <w:rStyle w:val="Hyperlink"/>
            <w:noProof/>
          </w:rPr>
          <w:t>2</w:t>
        </w:r>
        <w:r w:rsidR="00C97E35">
          <w:rPr>
            <w:rFonts w:asciiTheme="minorHAnsi" w:eastAsiaTheme="minorEastAsia" w:hAnsiTheme="minorHAnsi" w:cstheme="minorBidi"/>
            <w:noProof/>
            <w:sz w:val="22"/>
            <w:lang w:eastAsia="nl-NL"/>
          </w:rPr>
          <w:tab/>
        </w:r>
        <w:r w:rsidR="00C97E35" w:rsidRPr="00F40678">
          <w:rPr>
            <w:rStyle w:val="Hyperlink"/>
            <w:noProof/>
          </w:rPr>
          <w:t>Order-uitvoering Aandelen</w:t>
        </w:r>
        <w:r w:rsidR="00C97E35">
          <w:rPr>
            <w:noProof/>
            <w:webHidden/>
          </w:rPr>
          <w:tab/>
        </w:r>
        <w:r w:rsidR="00C97E35">
          <w:rPr>
            <w:noProof/>
            <w:webHidden/>
          </w:rPr>
          <w:fldChar w:fldCharType="begin"/>
        </w:r>
        <w:r w:rsidR="00C97E35">
          <w:rPr>
            <w:noProof/>
            <w:webHidden/>
          </w:rPr>
          <w:instrText xml:space="preserve"> PAGEREF _Toc512724357 \h </w:instrText>
        </w:r>
        <w:r w:rsidR="00C97E35">
          <w:rPr>
            <w:noProof/>
            <w:webHidden/>
          </w:rPr>
        </w:r>
        <w:r w:rsidR="00C97E35">
          <w:rPr>
            <w:noProof/>
            <w:webHidden/>
          </w:rPr>
          <w:fldChar w:fldCharType="separate"/>
        </w:r>
        <w:r w:rsidR="00BA291F">
          <w:rPr>
            <w:noProof/>
            <w:webHidden/>
          </w:rPr>
          <w:t>5</w:t>
        </w:r>
        <w:r w:rsidR="00C97E35">
          <w:rPr>
            <w:noProof/>
            <w:webHidden/>
          </w:rPr>
          <w:fldChar w:fldCharType="end"/>
        </w:r>
      </w:hyperlink>
    </w:p>
    <w:p w:rsidR="00C97E35" w:rsidRDefault="0093266D">
      <w:pPr>
        <w:pStyle w:val="TOC2"/>
        <w:tabs>
          <w:tab w:val="left" w:pos="880"/>
          <w:tab w:val="right" w:leader="dot" w:pos="9016"/>
        </w:tabs>
        <w:rPr>
          <w:rFonts w:asciiTheme="minorHAnsi" w:eastAsiaTheme="minorEastAsia" w:hAnsiTheme="minorHAnsi" w:cstheme="minorBidi"/>
          <w:noProof/>
          <w:sz w:val="22"/>
          <w:lang w:eastAsia="nl-NL"/>
        </w:rPr>
      </w:pPr>
      <w:hyperlink w:anchor="_Toc512724358" w:history="1">
        <w:r w:rsidR="00C97E35" w:rsidRPr="00F40678">
          <w:rPr>
            <w:rStyle w:val="Hyperlink"/>
            <w:noProof/>
          </w:rPr>
          <w:t>2.1</w:t>
        </w:r>
        <w:r w:rsidR="00C97E35">
          <w:rPr>
            <w:rFonts w:asciiTheme="minorHAnsi" w:eastAsiaTheme="minorEastAsia" w:hAnsiTheme="minorHAnsi" w:cstheme="minorBidi"/>
            <w:noProof/>
            <w:sz w:val="22"/>
            <w:lang w:eastAsia="nl-NL"/>
          </w:rPr>
          <w:tab/>
        </w:r>
        <w:r w:rsidR="00C97E35" w:rsidRPr="00F40678">
          <w:rPr>
            <w:rStyle w:val="Hyperlink"/>
            <w:noProof/>
          </w:rPr>
          <w:t>Instrumenten</w:t>
        </w:r>
        <w:r w:rsidR="00C97E35">
          <w:rPr>
            <w:noProof/>
            <w:webHidden/>
          </w:rPr>
          <w:tab/>
        </w:r>
        <w:r w:rsidR="00C97E35">
          <w:rPr>
            <w:noProof/>
            <w:webHidden/>
          </w:rPr>
          <w:fldChar w:fldCharType="begin"/>
        </w:r>
        <w:r w:rsidR="00C97E35">
          <w:rPr>
            <w:noProof/>
            <w:webHidden/>
          </w:rPr>
          <w:instrText xml:space="preserve"> PAGEREF _Toc512724358 \h </w:instrText>
        </w:r>
        <w:r w:rsidR="00C97E35">
          <w:rPr>
            <w:noProof/>
            <w:webHidden/>
          </w:rPr>
        </w:r>
        <w:r w:rsidR="00C97E35">
          <w:rPr>
            <w:noProof/>
            <w:webHidden/>
          </w:rPr>
          <w:fldChar w:fldCharType="separate"/>
        </w:r>
        <w:r w:rsidR="00BA291F">
          <w:rPr>
            <w:noProof/>
            <w:webHidden/>
          </w:rPr>
          <w:t>5</w:t>
        </w:r>
        <w:r w:rsidR="00C97E35">
          <w:rPr>
            <w:noProof/>
            <w:webHidden/>
          </w:rPr>
          <w:fldChar w:fldCharType="end"/>
        </w:r>
      </w:hyperlink>
    </w:p>
    <w:p w:rsidR="00C97E35" w:rsidRDefault="0093266D">
      <w:pPr>
        <w:pStyle w:val="TOC2"/>
        <w:tabs>
          <w:tab w:val="left" w:pos="880"/>
          <w:tab w:val="right" w:leader="dot" w:pos="9016"/>
        </w:tabs>
        <w:rPr>
          <w:rFonts w:asciiTheme="minorHAnsi" w:eastAsiaTheme="minorEastAsia" w:hAnsiTheme="minorHAnsi" w:cstheme="minorBidi"/>
          <w:noProof/>
          <w:sz w:val="22"/>
          <w:lang w:eastAsia="nl-NL"/>
        </w:rPr>
      </w:pPr>
      <w:hyperlink w:anchor="_Toc512724359" w:history="1">
        <w:r w:rsidR="00C97E35" w:rsidRPr="00F40678">
          <w:rPr>
            <w:rStyle w:val="Hyperlink"/>
            <w:noProof/>
          </w:rPr>
          <w:t>2.2</w:t>
        </w:r>
        <w:r w:rsidR="00C97E35">
          <w:rPr>
            <w:rFonts w:asciiTheme="minorHAnsi" w:eastAsiaTheme="minorEastAsia" w:hAnsiTheme="minorHAnsi" w:cstheme="minorBidi"/>
            <w:noProof/>
            <w:sz w:val="22"/>
            <w:lang w:eastAsia="nl-NL"/>
          </w:rPr>
          <w:tab/>
        </w:r>
        <w:r w:rsidR="00C97E35" w:rsidRPr="00F40678">
          <w:rPr>
            <w:rStyle w:val="Hyperlink"/>
            <w:noProof/>
          </w:rPr>
          <w:t>Handelsmethoden en –platformen</w:t>
        </w:r>
        <w:r w:rsidR="00C97E35">
          <w:rPr>
            <w:noProof/>
            <w:webHidden/>
          </w:rPr>
          <w:tab/>
        </w:r>
        <w:r w:rsidR="00C97E35">
          <w:rPr>
            <w:noProof/>
            <w:webHidden/>
          </w:rPr>
          <w:fldChar w:fldCharType="begin"/>
        </w:r>
        <w:r w:rsidR="00C97E35">
          <w:rPr>
            <w:noProof/>
            <w:webHidden/>
          </w:rPr>
          <w:instrText xml:space="preserve"> PAGEREF _Toc512724359 \h </w:instrText>
        </w:r>
        <w:r w:rsidR="00C97E35">
          <w:rPr>
            <w:noProof/>
            <w:webHidden/>
          </w:rPr>
        </w:r>
        <w:r w:rsidR="00C97E35">
          <w:rPr>
            <w:noProof/>
            <w:webHidden/>
          </w:rPr>
          <w:fldChar w:fldCharType="separate"/>
        </w:r>
        <w:r w:rsidR="00BA291F">
          <w:rPr>
            <w:noProof/>
            <w:webHidden/>
          </w:rPr>
          <w:t>5</w:t>
        </w:r>
        <w:r w:rsidR="00C97E35">
          <w:rPr>
            <w:noProof/>
            <w:webHidden/>
          </w:rPr>
          <w:fldChar w:fldCharType="end"/>
        </w:r>
      </w:hyperlink>
    </w:p>
    <w:p w:rsidR="00C97E35" w:rsidRDefault="0093266D">
      <w:pPr>
        <w:pStyle w:val="TOC2"/>
        <w:tabs>
          <w:tab w:val="left" w:pos="880"/>
          <w:tab w:val="right" w:leader="dot" w:pos="9016"/>
        </w:tabs>
        <w:rPr>
          <w:rFonts w:asciiTheme="minorHAnsi" w:eastAsiaTheme="minorEastAsia" w:hAnsiTheme="minorHAnsi" w:cstheme="minorBidi"/>
          <w:noProof/>
          <w:sz w:val="22"/>
          <w:lang w:eastAsia="nl-NL"/>
        </w:rPr>
      </w:pPr>
      <w:hyperlink w:anchor="_Toc512724360" w:history="1">
        <w:r w:rsidR="00C97E35" w:rsidRPr="00F40678">
          <w:rPr>
            <w:rStyle w:val="Hyperlink"/>
            <w:noProof/>
          </w:rPr>
          <w:t>2.3</w:t>
        </w:r>
        <w:r w:rsidR="00C97E35">
          <w:rPr>
            <w:rFonts w:asciiTheme="minorHAnsi" w:eastAsiaTheme="minorEastAsia" w:hAnsiTheme="minorHAnsi" w:cstheme="minorBidi"/>
            <w:noProof/>
            <w:sz w:val="22"/>
            <w:lang w:eastAsia="nl-NL"/>
          </w:rPr>
          <w:tab/>
        </w:r>
        <w:r w:rsidR="00C97E35" w:rsidRPr="00F40678">
          <w:rPr>
            <w:rStyle w:val="Hyperlink"/>
            <w:noProof/>
          </w:rPr>
          <w:t>Criteria aandelen</w:t>
        </w:r>
        <w:r w:rsidR="00C97E35">
          <w:rPr>
            <w:noProof/>
            <w:webHidden/>
          </w:rPr>
          <w:tab/>
        </w:r>
        <w:r w:rsidR="00C97E35">
          <w:rPr>
            <w:noProof/>
            <w:webHidden/>
          </w:rPr>
          <w:fldChar w:fldCharType="begin"/>
        </w:r>
        <w:r w:rsidR="00C97E35">
          <w:rPr>
            <w:noProof/>
            <w:webHidden/>
          </w:rPr>
          <w:instrText xml:space="preserve"> PAGEREF _Toc512724360 \h </w:instrText>
        </w:r>
        <w:r w:rsidR="00C97E35">
          <w:rPr>
            <w:noProof/>
            <w:webHidden/>
          </w:rPr>
        </w:r>
        <w:r w:rsidR="00C97E35">
          <w:rPr>
            <w:noProof/>
            <w:webHidden/>
          </w:rPr>
          <w:fldChar w:fldCharType="separate"/>
        </w:r>
        <w:r w:rsidR="00BA291F">
          <w:rPr>
            <w:noProof/>
            <w:webHidden/>
          </w:rPr>
          <w:t>5</w:t>
        </w:r>
        <w:r w:rsidR="00C97E35">
          <w:rPr>
            <w:noProof/>
            <w:webHidden/>
          </w:rPr>
          <w:fldChar w:fldCharType="end"/>
        </w:r>
      </w:hyperlink>
    </w:p>
    <w:p w:rsidR="00C97E35" w:rsidRDefault="0093266D">
      <w:pPr>
        <w:pStyle w:val="TOC2"/>
        <w:tabs>
          <w:tab w:val="left" w:pos="880"/>
          <w:tab w:val="right" w:leader="dot" w:pos="9016"/>
        </w:tabs>
        <w:rPr>
          <w:rFonts w:asciiTheme="minorHAnsi" w:eastAsiaTheme="minorEastAsia" w:hAnsiTheme="minorHAnsi" w:cstheme="minorBidi"/>
          <w:noProof/>
          <w:sz w:val="22"/>
          <w:lang w:eastAsia="nl-NL"/>
        </w:rPr>
      </w:pPr>
      <w:hyperlink w:anchor="_Toc512724361" w:history="1">
        <w:r w:rsidR="00C97E35" w:rsidRPr="00F40678">
          <w:rPr>
            <w:rStyle w:val="Hyperlink"/>
            <w:noProof/>
          </w:rPr>
          <w:t>2.4</w:t>
        </w:r>
        <w:r w:rsidR="00C97E35">
          <w:rPr>
            <w:rFonts w:asciiTheme="minorHAnsi" w:eastAsiaTheme="minorEastAsia" w:hAnsiTheme="minorHAnsi" w:cstheme="minorBidi"/>
            <w:noProof/>
            <w:sz w:val="22"/>
            <w:lang w:eastAsia="nl-NL"/>
          </w:rPr>
          <w:tab/>
        </w:r>
        <w:r w:rsidR="00C97E35" w:rsidRPr="00F40678">
          <w:rPr>
            <w:rStyle w:val="Hyperlink"/>
            <w:noProof/>
          </w:rPr>
          <w:t>Criteria futures</w:t>
        </w:r>
        <w:r w:rsidR="00C97E35">
          <w:rPr>
            <w:noProof/>
            <w:webHidden/>
          </w:rPr>
          <w:tab/>
        </w:r>
        <w:r w:rsidR="00C97E35">
          <w:rPr>
            <w:noProof/>
            <w:webHidden/>
          </w:rPr>
          <w:fldChar w:fldCharType="begin"/>
        </w:r>
        <w:r w:rsidR="00C97E35">
          <w:rPr>
            <w:noProof/>
            <w:webHidden/>
          </w:rPr>
          <w:instrText xml:space="preserve"> PAGEREF _Toc512724361 \h </w:instrText>
        </w:r>
        <w:r w:rsidR="00C97E35">
          <w:rPr>
            <w:noProof/>
            <w:webHidden/>
          </w:rPr>
        </w:r>
        <w:r w:rsidR="00C97E35">
          <w:rPr>
            <w:noProof/>
            <w:webHidden/>
          </w:rPr>
          <w:fldChar w:fldCharType="separate"/>
        </w:r>
        <w:r w:rsidR="00BA291F">
          <w:rPr>
            <w:noProof/>
            <w:webHidden/>
          </w:rPr>
          <w:t>5</w:t>
        </w:r>
        <w:r w:rsidR="00C97E35">
          <w:rPr>
            <w:noProof/>
            <w:webHidden/>
          </w:rPr>
          <w:fldChar w:fldCharType="end"/>
        </w:r>
      </w:hyperlink>
    </w:p>
    <w:p w:rsidR="00C97E35" w:rsidRDefault="0093266D">
      <w:pPr>
        <w:pStyle w:val="TOC1"/>
        <w:tabs>
          <w:tab w:val="left" w:pos="440"/>
          <w:tab w:val="right" w:leader="dot" w:pos="9016"/>
        </w:tabs>
        <w:rPr>
          <w:rFonts w:asciiTheme="minorHAnsi" w:eastAsiaTheme="minorEastAsia" w:hAnsiTheme="minorHAnsi" w:cstheme="minorBidi"/>
          <w:noProof/>
          <w:sz w:val="22"/>
          <w:lang w:eastAsia="nl-NL"/>
        </w:rPr>
      </w:pPr>
      <w:hyperlink w:anchor="_Toc512724362" w:history="1">
        <w:r w:rsidR="00C97E35" w:rsidRPr="00F40678">
          <w:rPr>
            <w:rStyle w:val="Hyperlink"/>
            <w:noProof/>
          </w:rPr>
          <w:t>3</w:t>
        </w:r>
        <w:r w:rsidR="00C97E35">
          <w:rPr>
            <w:rFonts w:asciiTheme="minorHAnsi" w:eastAsiaTheme="minorEastAsia" w:hAnsiTheme="minorHAnsi" w:cstheme="minorBidi"/>
            <w:noProof/>
            <w:sz w:val="22"/>
            <w:lang w:eastAsia="nl-NL"/>
          </w:rPr>
          <w:tab/>
        </w:r>
        <w:r w:rsidR="00C97E35" w:rsidRPr="00F40678">
          <w:rPr>
            <w:rStyle w:val="Hyperlink"/>
            <w:noProof/>
          </w:rPr>
          <w:t>Rapportage</w:t>
        </w:r>
        <w:r w:rsidR="00C97E35">
          <w:rPr>
            <w:noProof/>
            <w:webHidden/>
          </w:rPr>
          <w:tab/>
        </w:r>
        <w:r w:rsidR="00C97E35">
          <w:rPr>
            <w:noProof/>
            <w:webHidden/>
          </w:rPr>
          <w:fldChar w:fldCharType="begin"/>
        </w:r>
        <w:r w:rsidR="00C97E35">
          <w:rPr>
            <w:noProof/>
            <w:webHidden/>
          </w:rPr>
          <w:instrText xml:space="preserve"> PAGEREF _Toc512724362 \h </w:instrText>
        </w:r>
        <w:r w:rsidR="00C97E35">
          <w:rPr>
            <w:noProof/>
            <w:webHidden/>
          </w:rPr>
        </w:r>
        <w:r w:rsidR="00C97E35">
          <w:rPr>
            <w:noProof/>
            <w:webHidden/>
          </w:rPr>
          <w:fldChar w:fldCharType="separate"/>
        </w:r>
        <w:r w:rsidR="00BA291F">
          <w:rPr>
            <w:noProof/>
            <w:webHidden/>
          </w:rPr>
          <w:t>6</w:t>
        </w:r>
        <w:r w:rsidR="00C97E35">
          <w:rPr>
            <w:noProof/>
            <w:webHidden/>
          </w:rPr>
          <w:fldChar w:fldCharType="end"/>
        </w:r>
      </w:hyperlink>
    </w:p>
    <w:p w:rsidR="00C97E35" w:rsidRDefault="0093266D">
      <w:pPr>
        <w:pStyle w:val="TOC2"/>
        <w:tabs>
          <w:tab w:val="left" w:pos="880"/>
          <w:tab w:val="right" w:leader="dot" w:pos="9016"/>
        </w:tabs>
        <w:rPr>
          <w:rFonts w:asciiTheme="minorHAnsi" w:eastAsiaTheme="minorEastAsia" w:hAnsiTheme="minorHAnsi" w:cstheme="minorBidi"/>
          <w:noProof/>
          <w:sz w:val="22"/>
          <w:lang w:eastAsia="nl-NL"/>
        </w:rPr>
      </w:pPr>
      <w:hyperlink w:anchor="_Toc512724363" w:history="1">
        <w:r w:rsidR="00C97E35" w:rsidRPr="00F40678">
          <w:rPr>
            <w:rStyle w:val="Hyperlink"/>
            <w:noProof/>
          </w:rPr>
          <w:t>3.1</w:t>
        </w:r>
        <w:r w:rsidR="00C97E35">
          <w:rPr>
            <w:rFonts w:asciiTheme="minorHAnsi" w:eastAsiaTheme="minorEastAsia" w:hAnsiTheme="minorHAnsi" w:cstheme="minorBidi"/>
            <w:noProof/>
            <w:sz w:val="22"/>
            <w:lang w:eastAsia="nl-NL"/>
          </w:rPr>
          <w:tab/>
        </w:r>
        <w:r w:rsidR="00C97E35" w:rsidRPr="00F40678">
          <w:rPr>
            <w:rStyle w:val="Hyperlink"/>
            <w:noProof/>
          </w:rPr>
          <w:t>Rapportages</w:t>
        </w:r>
        <w:r w:rsidR="00C97E35">
          <w:rPr>
            <w:noProof/>
            <w:webHidden/>
          </w:rPr>
          <w:tab/>
        </w:r>
        <w:r w:rsidR="00C97E35">
          <w:rPr>
            <w:noProof/>
            <w:webHidden/>
          </w:rPr>
          <w:fldChar w:fldCharType="begin"/>
        </w:r>
        <w:r w:rsidR="00C97E35">
          <w:rPr>
            <w:noProof/>
            <w:webHidden/>
          </w:rPr>
          <w:instrText xml:space="preserve"> PAGEREF _Toc512724363 \h </w:instrText>
        </w:r>
        <w:r w:rsidR="00C97E35">
          <w:rPr>
            <w:noProof/>
            <w:webHidden/>
          </w:rPr>
        </w:r>
        <w:r w:rsidR="00C97E35">
          <w:rPr>
            <w:noProof/>
            <w:webHidden/>
          </w:rPr>
          <w:fldChar w:fldCharType="separate"/>
        </w:r>
        <w:r w:rsidR="00BA291F">
          <w:rPr>
            <w:noProof/>
            <w:webHidden/>
          </w:rPr>
          <w:t>6</w:t>
        </w:r>
        <w:r w:rsidR="00C97E35">
          <w:rPr>
            <w:noProof/>
            <w:webHidden/>
          </w:rPr>
          <w:fldChar w:fldCharType="end"/>
        </w:r>
      </w:hyperlink>
    </w:p>
    <w:p w:rsidR="00C97E35" w:rsidRDefault="0093266D">
      <w:pPr>
        <w:pStyle w:val="TOC2"/>
        <w:tabs>
          <w:tab w:val="left" w:pos="880"/>
          <w:tab w:val="right" w:leader="dot" w:pos="9016"/>
        </w:tabs>
        <w:rPr>
          <w:rFonts w:asciiTheme="minorHAnsi" w:eastAsiaTheme="minorEastAsia" w:hAnsiTheme="minorHAnsi" w:cstheme="minorBidi"/>
          <w:noProof/>
          <w:sz w:val="22"/>
          <w:lang w:eastAsia="nl-NL"/>
        </w:rPr>
      </w:pPr>
      <w:hyperlink w:anchor="_Toc512724364" w:history="1">
        <w:r w:rsidR="00C97E35" w:rsidRPr="00F40678">
          <w:rPr>
            <w:rStyle w:val="Hyperlink"/>
            <w:noProof/>
          </w:rPr>
          <w:t>3.2</w:t>
        </w:r>
        <w:r w:rsidR="00C97E35">
          <w:rPr>
            <w:rFonts w:asciiTheme="minorHAnsi" w:eastAsiaTheme="minorEastAsia" w:hAnsiTheme="minorHAnsi" w:cstheme="minorBidi"/>
            <w:noProof/>
            <w:sz w:val="22"/>
            <w:lang w:eastAsia="nl-NL"/>
          </w:rPr>
          <w:tab/>
        </w:r>
        <w:r w:rsidR="00C97E35" w:rsidRPr="00F40678">
          <w:rPr>
            <w:rStyle w:val="Hyperlink"/>
            <w:noProof/>
          </w:rPr>
          <w:t>Overig</w:t>
        </w:r>
        <w:r w:rsidR="00C97E35">
          <w:rPr>
            <w:noProof/>
            <w:webHidden/>
          </w:rPr>
          <w:tab/>
        </w:r>
        <w:r w:rsidR="00C97E35">
          <w:rPr>
            <w:noProof/>
            <w:webHidden/>
          </w:rPr>
          <w:fldChar w:fldCharType="begin"/>
        </w:r>
        <w:r w:rsidR="00C97E35">
          <w:rPr>
            <w:noProof/>
            <w:webHidden/>
          </w:rPr>
          <w:instrText xml:space="preserve"> PAGEREF _Toc512724364 \h </w:instrText>
        </w:r>
        <w:r w:rsidR="00C97E35">
          <w:rPr>
            <w:noProof/>
            <w:webHidden/>
          </w:rPr>
        </w:r>
        <w:r w:rsidR="00C97E35">
          <w:rPr>
            <w:noProof/>
            <w:webHidden/>
          </w:rPr>
          <w:fldChar w:fldCharType="separate"/>
        </w:r>
        <w:r w:rsidR="00BA291F">
          <w:rPr>
            <w:noProof/>
            <w:webHidden/>
          </w:rPr>
          <w:t>6</w:t>
        </w:r>
        <w:r w:rsidR="00C97E35">
          <w:rPr>
            <w:noProof/>
            <w:webHidden/>
          </w:rPr>
          <w:fldChar w:fldCharType="end"/>
        </w:r>
      </w:hyperlink>
    </w:p>
    <w:p w:rsidR="00B54C7B" w:rsidRDefault="00C97E35" w:rsidP="00B54C7B">
      <w:r>
        <w:fldChar w:fldCharType="end"/>
      </w:r>
    </w:p>
    <w:p w:rsidR="00B54C7B" w:rsidRDefault="00B54C7B">
      <w:pPr>
        <w:spacing w:after="160" w:line="259" w:lineRule="auto"/>
      </w:pPr>
      <w:r>
        <w:br w:type="page"/>
      </w:r>
    </w:p>
    <w:p w:rsidR="00B54C7B" w:rsidRDefault="00B54C7B" w:rsidP="00B54C7B">
      <w:pPr>
        <w:pStyle w:val="Heading1"/>
      </w:pPr>
      <w:bookmarkStart w:id="1" w:name="_Toc512724356"/>
      <w:r w:rsidRPr="00B54C7B">
        <w:lastRenderedPageBreak/>
        <w:t>Selectiecriteria van tegenpartijen</w:t>
      </w:r>
      <w:bookmarkEnd w:id="1"/>
    </w:p>
    <w:p w:rsidR="00B54C7B" w:rsidRDefault="00B54C7B" w:rsidP="00B54C7B">
      <w:r>
        <w:t>Vermogensbeheer handelt uitsluitend voor rekening van opdrachtgevers met tegenpartijen die zijn opgenomen op de geautoriseerde MN Brokerlijst. Het selecteren van tegenpartijen voor de MN Brokerlijst is onderhevig aan de aanstellingseisen zoals opgenomen in het MN Brokerbeleid. Het selectie proces voor de MN Brokerlijst is opgenomen onder het proces ‘Selecteren en beheren brokers’.</w:t>
      </w:r>
    </w:p>
    <w:p w:rsidR="00B54C7B" w:rsidRDefault="00B54C7B" w:rsidP="00B54C7B"/>
    <w:p w:rsidR="00B54C7B" w:rsidRDefault="00B54C7B" w:rsidP="00B54C7B">
      <w:r>
        <w:t xml:space="preserve">Het best mogelijke resultaat (best execution) kan op verschillende manieren </w:t>
      </w:r>
      <w:r w:rsidR="00EA345A">
        <w:t>worden beoordeeld</w:t>
      </w:r>
      <w:r>
        <w:t xml:space="preserve">. Vermogensbeheer vindt voor de orderuitvoering onder andere de onderstaande criteria van belang. Het is niet eenvoudig om voor alle transacties een uniforme methode te gebruiken in de beoordeling. Per instrument kunnen deze criteria verschillen. Onderstaand wordt uitleg gegeven van de criteria die worden gebruikt (niet uitputtend en in willekeurige volgorde). </w:t>
      </w:r>
    </w:p>
    <w:p w:rsidR="00B54C7B" w:rsidRDefault="00B54C7B" w:rsidP="00EA345A">
      <w:pPr>
        <w:pStyle w:val="ListParagraph"/>
        <w:numPr>
          <w:ilvl w:val="0"/>
          <w:numId w:val="15"/>
        </w:numPr>
      </w:pPr>
      <w:r>
        <w:t>De kwaliteit en effectiviteit van het uitvoeringsbeleid van de tegenpartij, waar relevant, om het beste resultaat voor een opdrachtgever te behalen.</w:t>
      </w:r>
    </w:p>
    <w:p w:rsidR="00B54C7B" w:rsidRDefault="00B54C7B" w:rsidP="00EA345A">
      <w:pPr>
        <w:pStyle w:val="ListParagraph"/>
        <w:numPr>
          <w:ilvl w:val="0"/>
          <w:numId w:val="15"/>
        </w:numPr>
      </w:pPr>
      <w:r>
        <w:t>Het vermogen van de tegenpartij om liquiditeit in de markt te zoeken en te nemen, de marktimpact te minimaliseren en het vermogen ongebruikelijke orders te verwerken.</w:t>
      </w:r>
    </w:p>
    <w:p w:rsidR="00B54C7B" w:rsidRDefault="00B54C7B" w:rsidP="00EA345A">
      <w:pPr>
        <w:pStyle w:val="ListParagraph"/>
        <w:numPr>
          <w:ilvl w:val="0"/>
          <w:numId w:val="15"/>
        </w:numPr>
      </w:pPr>
      <w:r>
        <w:t xml:space="preserve">Het vermogen van de tegenpartij om de beste prijs te realiseren en de mogelijkheid voor verbeteringen in de prijs te maximaliseren. Het vermogen van de tegenpartij om orders (tijdig) te vullen en het aantal incomplete orders te minimaliseren. </w:t>
      </w:r>
    </w:p>
    <w:p w:rsidR="00B54C7B" w:rsidRDefault="00B54C7B" w:rsidP="00EA345A">
      <w:pPr>
        <w:pStyle w:val="ListParagraph"/>
        <w:numPr>
          <w:ilvl w:val="0"/>
          <w:numId w:val="15"/>
        </w:numPr>
      </w:pPr>
      <w:r>
        <w:t>De mate waarin een tegenpartij zich op een ijverige en consistente manier inzet om aan de handelsbehoefte te voldoen.</w:t>
      </w:r>
    </w:p>
    <w:p w:rsidR="00B54C7B" w:rsidRDefault="00B54C7B" w:rsidP="00EA345A">
      <w:pPr>
        <w:pStyle w:val="ListParagraph"/>
        <w:numPr>
          <w:ilvl w:val="0"/>
          <w:numId w:val="15"/>
        </w:numPr>
      </w:pPr>
      <w:r>
        <w:t>De efficiëntie en nauwkeurigheid van het clearing- en settlement-proces van de tegenpartij.</w:t>
      </w:r>
    </w:p>
    <w:p w:rsidR="00B54C7B" w:rsidRDefault="00B54C7B" w:rsidP="00EA345A">
      <w:pPr>
        <w:pStyle w:val="ListParagraph"/>
        <w:numPr>
          <w:ilvl w:val="0"/>
          <w:numId w:val="15"/>
        </w:numPr>
      </w:pPr>
      <w:r>
        <w:t>Het vermogen van de tegenpartij om voldoende kapitaal aan te houden en in te zetten wanneer dit vereist is om een order te vullen.</w:t>
      </w:r>
    </w:p>
    <w:p w:rsidR="00B54C7B" w:rsidRDefault="00B54C7B" w:rsidP="00EA345A">
      <w:pPr>
        <w:pStyle w:val="ListParagraph"/>
        <w:numPr>
          <w:ilvl w:val="0"/>
          <w:numId w:val="15"/>
        </w:numPr>
      </w:pPr>
      <w:r>
        <w:t>De afhandeling van een tegenpartij omtrent opmerkingen of klachten over foutieve transacties en deze naar tevredenheid hersteld.</w:t>
      </w:r>
    </w:p>
    <w:p w:rsidR="00B54C7B" w:rsidRDefault="00B54C7B" w:rsidP="00EA345A">
      <w:pPr>
        <w:pStyle w:val="ListParagraph"/>
        <w:numPr>
          <w:ilvl w:val="0"/>
          <w:numId w:val="15"/>
        </w:numPr>
      </w:pPr>
      <w:r>
        <w:t>Het vermogen van de tegenpartij om te anticiperen, zich aan te passen en toegang te hebben tot alternatieve handelsopties om een hogere uitvoeringskwaliteit te behalen.</w:t>
      </w:r>
    </w:p>
    <w:p w:rsidR="00B54C7B" w:rsidRDefault="00B54C7B" w:rsidP="00EA345A">
      <w:pPr>
        <w:pStyle w:val="ListParagraph"/>
        <w:numPr>
          <w:ilvl w:val="0"/>
          <w:numId w:val="15"/>
        </w:numPr>
      </w:pPr>
      <w:r>
        <w:t xml:space="preserve">De beschikbare ruimte die een betreffende tegenpartij (nog) ter beschikking kan stellen binnen de gestelde limieten van opdrachtgevers. </w:t>
      </w:r>
    </w:p>
    <w:p w:rsidR="00B54C7B" w:rsidRDefault="00B54C7B" w:rsidP="00B54C7B">
      <w:pPr>
        <w:rPr>
          <w:lang w:eastAsia="nl-NL"/>
        </w:rPr>
      </w:pPr>
    </w:p>
    <w:p w:rsidR="00B54C7B" w:rsidRDefault="00B54C7B" w:rsidP="00B54C7B">
      <w:r>
        <w:t>Het belang van de genoemde criteria kan per beleggingsinstrument (aandeel, obligatie, optie, vastgoed, fonds, valuta e.d.) verschillen. Voor de bepaling van het relatieve belang van de relevante uitvoeringsfactoren zijn de kenmerken van de opdrachtgever, het beleggingsinstrument en de k</w:t>
      </w:r>
      <w:r w:rsidR="00EA345A">
        <w:t xml:space="preserve">enmerken van de order leidend. </w:t>
      </w:r>
    </w:p>
    <w:p w:rsidR="00B54C7B" w:rsidRDefault="00B54C7B" w:rsidP="00B54C7B"/>
    <w:p w:rsidR="00B54C7B" w:rsidRDefault="00B54C7B" w:rsidP="00B54C7B">
      <w:pPr>
        <w:spacing w:after="160" w:line="259" w:lineRule="auto"/>
      </w:pPr>
    </w:p>
    <w:p w:rsidR="00B54C7B" w:rsidRDefault="00B54C7B">
      <w:pPr>
        <w:spacing w:after="160" w:line="259" w:lineRule="auto"/>
      </w:pPr>
      <w:r>
        <w:br w:type="page"/>
      </w:r>
    </w:p>
    <w:p w:rsidR="00B54C7B" w:rsidRDefault="00B54C7B" w:rsidP="00B54C7B">
      <w:pPr>
        <w:pStyle w:val="Heading1"/>
      </w:pPr>
      <w:bookmarkStart w:id="2" w:name="_Toc512724357"/>
      <w:r w:rsidRPr="00B54C7B">
        <w:lastRenderedPageBreak/>
        <w:t>Order-uitvoering Aandelen</w:t>
      </w:r>
      <w:bookmarkEnd w:id="2"/>
    </w:p>
    <w:p w:rsidR="00B54C7B" w:rsidRDefault="00B54C7B" w:rsidP="00B54C7B">
      <w:pPr>
        <w:pStyle w:val="Heading2"/>
      </w:pPr>
      <w:bookmarkStart w:id="3" w:name="_Toc512724358"/>
      <w:r>
        <w:t>Instrumenten</w:t>
      </w:r>
      <w:bookmarkEnd w:id="3"/>
    </w:p>
    <w:p w:rsidR="00B54C7B" w:rsidRDefault="00B54C7B" w:rsidP="00B54C7B">
      <w:pPr>
        <w:spacing w:after="160" w:line="259" w:lineRule="auto"/>
      </w:pPr>
      <w:r>
        <w:t xml:space="preserve">Binnen de assetclass Aandelen wordt er in de volgende instrumenten gehandeld:  </w:t>
      </w:r>
    </w:p>
    <w:p w:rsidR="00B54C7B" w:rsidRDefault="004002E6" w:rsidP="00B54C7B">
      <w:pPr>
        <w:pStyle w:val="ListParagraph"/>
      </w:pPr>
      <w:r>
        <w:t>-</w:t>
      </w:r>
      <w:r>
        <w:tab/>
        <w:t>Aandelen</w:t>
      </w:r>
      <w:r>
        <w:rPr>
          <w:rStyle w:val="FootnoteReference"/>
        </w:rPr>
        <w:footnoteReference w:id="1"/>
      </w:r>
    </w:p>
    <w:p w:rsidR="008B67E0" w:rsidRDefault="00B54C7B" w:rsidP="00B54C7B">
      <w:pPr>
        <w:pStyle w:val="ListParagraph"/>
      </w:pPr>
      <w:r>
        <w:t>-</w:t>
      </w:r>
      <w:r>
        <w:tab/>
        <w:t>Indexfutures</w:t>
      </w:r>
    </w:p>
    <w:p w:rsidR="008B67E0" w:rsidRDefault="008B67E0" w:rsidP="00B54C7B">
      <w:pPr>
        <w:pStyle w:val="ListParagraph"/>
      </w:pPr>
    </w:p>
    <w:p w:rsidR="00B54C7B" w:rsidRDefault="00B54C7B" w:rsidP="00B54C7B">
      <w:pPr>
        <w:pStyle w:val="Heading2"/>
      </w:pPr>
      <w:bookmarkStart w:id="4" w:name="_Toc512724359"/>
      <w:r>
        <w:t>Handelsmethoden en –platformen</w:t>
      </w:r>
      <w:bookmarkEnd w:id="4"/>
    </w:p>
    <w:p w:rsidR="00B54C7B" w:rsidRDefault="00B54C7B" w:rsidP="00B54C7B">
      <w:pPr>
        <w:pStyle w:val="ListParagraph"/>
      </w:pPr>
      <w:r>
        <w:t xml:space="preserve">Het uitvoeren van aandelenorders wordt op drie verschillende manieren gefaciliteerd: </w:t>
      </w:r>
    </w:p>
    <w:p w:rsidR="00B54C7B" w:rsidRDefault="00B54C7B" w:rsidP="00B54C7B">
      <w:pPr>
        <w:pStyle w:val="ListParagraph"/>
      </w:pPr>
      <w:r>
        <w:t>-</w:t>
      </w:r>
      <w:r>
        <w:tab/>
        <w:t>Blok order</w:t>
      </w:r>
    </w:p>
    <w:p w:rsidR="00B54C7B" w:rsidRDefault="00B54C7B" w:rsidP="00B54C7B">
      <w:pPr>
        <w:pStyle w:val="ListParagraph"/>
      </w:pPr>
      <w:r>
        <w:t>-</w:t>
      </w:r>
      <w:r>
        <w:tab/>
        <w:t>Losse orders</w:t>
      </w:r>
    </w:p>
    <w:p w:rsidR="00B54C7B" w:rsidRDefault="00B54C7B" w:rsidP="00B54C7B">
      <w:pPr>
        <w:pStyle w:val="ListParagraph"/>
      </w:pPr>
      <w:r>
        <w:t>-</w:t>
      </w:r>
      <w:r>
        <w:tab/>
        <w:t>Program-trading</w:t>
      </w:r>
    </w:p>
    <w:p w:rsidR="00B54C7B" w:rsidRDefault="00B54C7B" w:rsidP="00B54C7B">
      <w:pPr>
        <w:pStyle w:val="ListParagraph"/>
      </w:pPr>
    </w:p>
    <w:p w:rsidR="00B54C7B" w:rsidRDefault="00B54C7B" w:rsidP="00B54C7B">
      <w:pPr>
        <w:pStyle w:val="Heading2"/>
      </w:pPr>
      <w:bookmarkStart w:id="5" w:name="_Toc512724360"/>
      <w:r>
        <w:t>Criteria aandelen</w:t>
      </w:r>
      <w:bookmarkEnd w:id="5"/>
    </w:p>
    <w:p w:rsidR="00B54C7B" w:rsidRDefault="00B54C7B" w:rsidP="00B54C7B">
      <w:pPr>
        <w:pStyle w:val="ListParagraph"/>
      </w:pPr>
      <w:r>
        <w:t xml:space="preserve">De volgende criteria worden in overweging genomen bij het handelen in aandelen. Het (anoniem) vinden van liquiditeit via de broker is het belangrijkste criterium gevolgd door de prijs. Als derde wordt er gekeken naar de uitvoeringskosten. Als laatste wordt gekeken naar de afwikkeling van de order. </w:t>
      </w:r>
    </w:p>
    <w:p w:rsidR="00B54C7B" w:rsidRDefault="00B54C7B" w:rsidP="00B54C7B">
      <w:pPr>
        <w:pStyle w:val="ListParagraph"/>
      </w:pPr>
    </w:p>
    <w:p w:rsidR="00B54C7B" w:rsidRDefault="00B54C7B" w:rsidP="00B54C7B">
      <w:pPr>
        <w:pStyle w:val="ListParagraph"/>
      </w:pPr>
      <w:r>
        <w:t xml:space="preserve">Voor bovenstaande orders wordt middels het Bloomberg Transaction Cost Analysis (BTCA) systeem de prijs vergeleken met de relevante benchmark op het moment van uitvoering. Er is een bandbreedte ingesteld waarbinnen de afwijking van de benchmark moet vallen. Deze bandbreedtes zijn opgenomen in de werkbeschrijving van de afdeling. Op deze manier wordt vastgesteld of de beste uitvoering is behaald voor de opdrachtgever. Andere criteria dan prijs kunnen steekproefsgewijs gecontroleerd worden door Compliance. </w:t>
      </w:r>
    </w:p>
    <w:p w:rsidR="00B54C7B" w:rsidRDefault="00B54C7B" w:rsidP="00B54C7B">
      <w:pPr>
        <w:pStyle w:val="ListParagraph"/>
      </w:pPr>
    </w:p>
    <w:p w:rsidR="00B54C7B" w:rsidRDefault="00B54C7B" w:rsidP="00B54C7B">
      <w:pPr>
        <w:pStyle w:val="Heading2"/>
      </w:pPr>
      <w:bookmarkStart w:id="6" w:name="_Toc512724361"/>
      <w:r>
        <w:t>Criteria futures</w:t>
      </w:r>
      <w:bookmarkEnd w:id="6"/>
      <w:r>
        <w:t xml:space="preserve"> </w:t>
      </w:r>
    </w:p>
    <w:p w:rsidR="00B54C7B" w:rsidRDefault="00B54C7B" w:rsidP="00B54C7B">
      <w:pPr>
        <w:pStyle w:val="ListParagraph"/>
      </w:pPr>
      <w:r>
        <w:t xml:space="preserve">Het verkrijgen van de benodigde exposure om risico’s af te dekken is leidend bij het uitvoeren van orders. Vervolgens is de snelheid van uitvoering het belangrijkste criterium voor uitvoering van futures. </w:t>
      </w:r>
    </w:p>
    <w:p w:rsidR="00B54C7B" w:rsidRDefault="00B54C7B" w:rsidP="00B54C7B">
      <w:pPr>
        <w:pStyle w:val="ListParagraph"/>
      </w:pPr>
    </w:p>
    <w:p w:rsidR="00B54C7B" w:rsidRDefault="00B54C7B">
      <w:pPr>
        <w:spacing w:after="160" w:line="259" w:lineRule="auto"/>
        <w:rPr>
          <w:rFonts w:eastAsia="Times New Roman"/>
          <w:szCs w:val="20"/>
        </w:rPr>
      </w:pPr>
      <w:r>
        <w:br w:type="page"/>
      </w:r>
    </w:p>
    <w:p w:rsidR="00B54C7B" w:rsidRDefault="00B54C7B" w:rsidP="00B54C7B">
      <w:pPr>
        <w:pStyle w:val="Heading1"/>
      </w:pPr>
      <w:bookmarkStart w:id="7" w:name="_Toc512724362"/>
      <w:r>
        <w:lastRenderedPageBreak/>
        <w:t>Rapportage</w:t>
      </w:r>
      <w:bookmarkEnd w:id="7"/>
    </w:p>
    <w:p w:rsidR="00B54C7B" w:rsidRDefault="00B54C7B" w:rsidP="00B54C7B">
      <w:pPr>
        <w:pStyle w:val="Heading2"/>
      </w:pPr>
      <w:bookmarkStart w:id="8" w:name="_Toc512724363"/>
      <w:r w:rsidRPr="00B54C7B">
        <w:t>Rapportages</w:t>
      </w:r>
      <w:bookmarkEnd w:id="8"/>
    </w:p>
    <w:p w:rsidR="00B54C7B" w:rsidRDefault="00B54C7B" w:rsidP="00B54C7B">
      <w:pPr>
        <w:rPr>
          <w:lang w:eastAsia="nl-NL"/>
        </w:rPr>
      </w:pPr>
      <w:r w:rsidRPr="00B54C7B">
        <w:rPr>
          <w:lang w:eastAsia="nl-NL"/>
        </w:rPr>
        <w:t>Jaarlijks publiceert Vermogensbeheer een overzicht van de vijf uitvoeringsplatformen met de meeste transacties van opdrachtgevers. Dit overzicht word</w:t>
      </w:r>
      <w:r>
        <w:rPr>
          <w:lang w:eastAsia="nl-NL"/>
        </w:rPr>
        <w:t>t per categorie van financiële i</w:t>
      </w:r>
      <w:r w:rsidRPr="00B54C7B">
        <w:rPr>
          <w:lang w:eastAsia="nl-NL"/>
        </w:rPr>
        <w:t xml:space="preserve">nstrumenten opgesteld. Aangezien Vermogensbeheer alleen handelt met tegenpartijen en deze tegenpartijen bepalen of orders agressief of passief worden verhandeld, wordt de kolom passief/agressief in deze rapportage niet gevuld. Vermogensbeheer geeft tegenpartijen geen specifieke instructies mee die leiden tot het passief of agressief uitvoeren van een order conform de definitie van MiFID II. </w:t>
      </w:r>
    </w:p>
    <w:p w:rsidR="00B54C7B" w:rsidRDefault="00B54C7B" w:rsidP="00B54C7B">
      <w:pPr>
        <w:rPr>
          <w:lang w:eastAsia="nl-NL"/>
        </w:rPr>
      </w:pPr>
    </w:p>
    <w:p w:rsidR="00B54C7B" w:rsidRDefault="00B54C7B" w:rsidP="00B54C7B">
      <w:pPr>
        <w:pStyle w:val="Heading2"/>
      </w:pPr>
      <w:bookmarkStart w:id="9" w:name="_Toc512724364"/>
      <w:r w:rsidRPr="00B54C7B">
        <w:t>Overig</w:t>
      </w:r>
      <w:bookmarkEnd w:id="9"/>
    </w:p>
    <w:p w:rsidR="00B54C7B" w:rsidRDefault="00B54C7B" w:rsidP="00B54C7B">
      <w:pPr>
        <w:rPr>
          <w:lang w:eastAsia="nl-NL"/>
        </w:rPr>
      </w:pPr>
      <w:r w:rsidRPr="00B54C7B">
        <w:rPr>
          <w:lang w:eastAsia="nl-NL"/>
        </w:rPr>
        <w:t>MN is niet op enigerlei wijze gelieerd aan partijen die de uitvoering van de transacties verzorgen voor MN. Ook zijn er geen afspraken met deze partijen gemaakt over korting en andersoortige voordelen. Voor het evalueren van de kwaliteit uitvoering maakt MN onder andere gebruik van Bloomberg BTCA.</w:t>
      </w:r>
    </w:p>
    <w:p w:rsidR="004E2141" w:rsidRDefault="004E2141" w:rsidP="00B54C7B">
      <w:pPr>
        <w:rPr>
          <w:lang w:eastAsia="nl-NL"/>
        </w:rPr>
      </w:pPr>
    </w:p>
    <w:p w:rsidR="004E2141" w:rsidRDefault="004E2141">
      <w:pPr>
        <w:spacing w:after="160" w:line="259" w:lineRule="auto"/>
        <w:rPr>
          <w:lang w:eastAsia="nl-NL"/>
        </w:rPr>
      </w:pPr>
      <w:r>
        <w:rPr>
          <w:lang w:eastAsia="nl-NL"/>
        </w:rPr>
        <w:br w:type="page"/>
      </w:r>
    </w:p>
    <w:p w:rsidR="004E2141" w:rsidRDefault="004E2141" w:rsidP="004E2141">
      <w:pPr>
        <w:rPr>
          <w:lang w:eastAsia="nl-NL"/>
        </w:rPr>
      </w:pPr>
      <w:r w:rsidRPr="004E2141">
        <w:rPr>
          <w:color w:val="1A2A6A"/>
          <w:sz w:val="48"/>
          <w:szCs w:val="48"/>
        </w:rPr>
        <w:lastRenderedPageBreak/>
        <w:t>Colofon</w:t>
      </w:r>
    </w:p>
    <w:p w:rsidR="004E2141" w:rsidRDefault="004E2141" w:rsidP="004E2141">
      <w:pPr>
        <w:rPr>
          <w:rFonts w:eastAsia="Times New Roman"/>
          <w:color w:val="35A1DF"/>
          <w:sz w:val="24"/>
          <w:szCs w:val="26"/>
          <w:lang w:eastAsia="nl-NL"/>
        </w:rPr>
      </w:pPr>
    </w:p>
    <w:p w:rsidR="004E2141" w:rsidRPr="004E2141" w:rsidRDefault="004E2141" w:rsidP="004E2141">
      <w:pPr>
        <w:rPr>
          <w:rFonts w:eastAsia="Times New Roman"/>
          <w:color w:val="35A1DF"/>
          <w:sz w:val="24"/>
          <w:szCs w:val="26"/>
          <w:lang w:eastAsia="nl-NL"/>
        </w:rPr>
      </w:pPr>
      <w:r w:rsidRPr="004E2141">
        <w:rPr>
          <w:rFonts w:eastAsia="Times New Roman"/>
          <w:color w:val="35A1DF"/>
          <w:sz w:val="24"/>
          <w:szCs w:val="26"/>
          <w:lang w:eastAsia="nl-NL"/>
        </w:rPr>
        <w:t>Tekst</w:t>
      </w:r>
    </w:p>
    <w:p w:rsidR="004E2141" w:rsidRDefault="004E2141" w:rsidP="004E2141">
      <w:pPr>
        <w:rPr>
          <w:lang w:eastAsia="nl-NL"/>
        </w:rPr>
      </w:pPr>
      <w:r>
        <w:rPr>
          <w:lang w:eastAsia="nl-NL"/>
        </w:rPr>
        <w:t>MN</w:t>
      </w:r>
    </w:p>
    <w:p w:rsidR="004E2141" w:rsidRDefault="004E2141" w:rsidP="004E2141">
      <w:pPr>
        <w:rPr>
          <w:rFonts w:eastAsia="Times New Roman"/>
          <w:color w:val="35A1DF"/>
          <w:sz w:val="24"/>
          <w:szCs w:val="26"/>
          <w:lang w:eastAsia="nl-NL"/>
        </w:rPr>
      </w:pPr>
    </w:p>
    <w:p w:rsidR="004E2141" w:rsidRPr="004E2141" w:rsidRDefault="004E2141" w:rsidP="004E2141">
      <w:pPr>
        <w:rPr>
          <w:rFonts w:eastAsia="Times New Roman"/>
          <w:color w:val="35A1DF"/>
          <w:sz w:val="24"/>
          <w:szCs w:val="26"/>
          <w:lang w:eastAsia="nl-NL"/>
        </w:rPr>
      </w:pPr>
      <w:r w:rsidRPr="004E2141">
        <w:rPr>
          <w:rFonts w:eastAsia="Times New Roman"/>
          <w:color w:val="35A1DF"/>
          <w:sz w:val="24"/>
          <w:szCs w:val="26"/>
          <w:lang w:eastAsia="nl-NL"/>
        </w:rPr>
        <w:t>Concept en vormgeving</w:t>
      </w:r>
    </w:p>
    <w:p w:rsidR="004E2141" w:rsidRPr="004002E6" w:rsidRDefault="004E2141" w:rsidP="004E2141">
      <w:pPr>
        <w:rPr>
          <w:lang w:val="fr-FR" w:eastAsia="nl-NL"/>
        </w:rPr>
      </w:pPr>
      <w:r w:rsidRPr="004002E6">
        <w:rPr>
          <w:lang w:val="fr-FR" w:eastAsia="nl-NL"/>
        </w:rPr>
        <w:t>MN</w:t>
      </w: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p>
    <w:p w:rsidR="004E2141" w:rsidRPr="004002E6" w:rsidRDefault="004E2141" w:rsidP="004E2141">
      <w:pPr>
        <w:rPr>
          <w:lang w:val="fr-FR" w:eastAsia="nl-NL"/>
        </w:rPr>
      </w:pPr>
      <w:r w:rsidRPr="004002E6">
        <w:rPr>
          <w:lang w:val="fr-FR" w:eastAsia="nl-NL"/>
        </w:rPr>
        <w:t>MN</w:t>
      </w:r>
    </w:p>
    <w:p w:rsidR="004E2141" w:rsidRPr="004002E6" w:rsidRDefault="004E2141" w:rsidP="004E2141">
      <w:pPr>
        <w:rPr>
          <w:lang w:val="fr-FR" w:eastAsia="nl-NL"/>
        </w:rPr>
      </w:pPr>
      <w:r w:rsidRPr="004002E6">
        <w:rPr>
          <w:lang w:val="fr-FR" w:eastAsia="nl-NL"/>
        </w:rPr>
        <w:t>Prinses Beatrixlaan 15</w:t>
      </w:r>
    </w:p>
    <w:p w:rsidR="004E2141" w:rsidRPr="004002E6" w:rsidRDefault="004E2141" w:rsidP="004E2141">
      <w:pPr>
        <w:rPr>
          <w:lang w:val="fr-FR" w:eastAsia="nl-NL"/>
        </w:rPr>
      </w:pPr>
      <w:r w:rsidRPr="004002E6">
        <w:rPr>
          <w:lang w:val="fr-FR" w:eastAsia="nl-NL"/>
        </w:rPr>
        <w:t>Postbus 30025</w:t>
      </w:r>
    </w:p>
    <w:p w:rsidR="004E2141" w:rsidRDefault="004E2141" w:rsidP="004E2141">
      <w:pPr>
        <w:rPr>
          <w:lang w:eastAsia="nl-NL"/>
        </w:rPr>
      </w:pPr>
      <w:r>
        <w:rPr>
          <w:lang w:eastAsia="nl-NL"/>
        </w:rPr>
        <w:t>2500 GA Den Haag</w:t>
      </w:r>
    </w:p>
    <w:p w:rsidR="004E2141" w:rsidRDefault="004E2141" w:rsidP="004E2141">
      <w:pPr>
        <w:rPr>
          <w:lang w:eastAsia="nl-NL"/>
        </w:rPr>
      </w:pPr>
    </w:p>
    <w:p w:rsidR="004E2141" w:rsidRDefault="004E2141" w:rsidP="004E2141">
      <w:pPr>
        <w:rPr>
          <w:lang w:eastAsia="nl-NL"/>
        </w:rPr>
      </w:pPr>
      <w:r>
        <w:rPr>
          <w:lang w:eastAsia="nl-NL"/>
        </w:rPr>
        <w:t>T +31 (0)70 316 01 60</w:t>
      </w:r>
    </w:p>
    <w:p w:rsidR="004E2141" w:rsidRDefault="004E2141" w:rsidP="004E2141">
      <w:pPr>
        <w:rPr>
          <w:lang w:eastAsia="nl-NL"/>
        </w:rPr>
      </w:pPr>
      <w:r>
        <w:rPr>
          <w:lang w:eastAsia="nl-NL"/>
        </w:rPr>
        <w:t>F +31 (0)70 316 04 75</w:t>
      </w:r>
    </w:p>
    <w:p w:rsidR="004E2141" w:rsidRPr="00B54C7B" w:rsidRDefault="00DD5C49" w:rsidP="004E2141">
      <w:pPr>
        <w:rPr>
          <w:lang w:eastAsia="nl-NL"/>
        </w:rPr>
      </w:pP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596265</wp:posOffset>
                </wp:positionV>
                <wp:extent cx="5577840" cy="297180"/>
                <wp:effectExtent l="0" t="0" r="22860" b="26670"/>
                <wp:wrapNone/>
                <wp:docPr id="1" name="Rectangle 1"/>
                <wp:cNvGraphicFramePr/>
                <a:graphic xmlns:a="http://schemas.openxmlformats.org/drawingml/2006/main">
                  <a:graphicData uri="http://schemas.microsoft.com/office/word/2010/wordprocessingShape">
                    <wps:wsp>
                      <wps:cNvSpPr/>
                      <wps:spPr>
                        <a:xfrm>
                          <a:off x="0" y="0"/>
                          <a:ext cx="5577840" cy="2971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15A08" id="Rectangle 1" o:spid="_x0000_s1026" style="position:absolute;margin-left:1.8pt;margin-top:46.95pt;width:439.2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" fillcolor="white [3212]" strokecolor="white [3212]" strokeweight="1pt"/>
            </w:pict>
          </mc:Fallback>
        </mc:AlternateContent>
      </w:r>
      <w:r w:rsidR="004E2141">
        <w:rPr>
          <w:lang w:eastAsia="nl-NL"/>
        </w:rPr>
        <w:t>www.mn.nl</w:t>
      </w:r>
    </w:p>
    <w:sectPr w:rsidR="004E2141" w:rsidRPr="00B54C7B" w:rsidSect="003F2C7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66D" w:rsidRDefault="0093266D" w:rsidP="003F2C7F">
      <w:pPr>
        <w:spacing w:line="240" w:lineRule="auto"/>
      </w:pPr>
      <w:r>
        <w:separator/>
      </w:r>
    </w:p>
  </w:endnote>
  <w:endnote w:type="continuationSeparator" w:id="0">
    <w:p w:rsidR="0093266D" w:rsidRDefault="0093266D" w:rsidP="003F2C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7F" w:rsidRDefault="0093266D" w:rsidP="003F2C7F">
    <w:pPr>
      <w:pStyle w:val="Footer"/>
      <w:tabs>
        <w:tab w:val="left" w:pos="851"/>
      </w:tabs>
      <w:rPr>
        <w:noProof/>
        <w:sz w:val="18"/>
        <w:szCs w:val="18"/>
      </w:rPr>
    </w:pPr>
    <w:sdt>
      <w:sdtPr>
        <w:rPr>
          <w:sz w:val="18"/>
          <w:szCs w:val="18"/>
        </w:rPr>
        <w:id w:val="-1158528658"/>
        <w:docPartObj>
          <w:docPartGallery w:val="Page Numbers (Bottom of Page)"/>
          <w:docPartUnique/>
        </w:docPartObj>
      </w:sdtPr>
      <w:sdtEndPr>
        <w:rPr>
          <w:noProof/>
        </w:rPr>
      </w:sdtEndPr>
      <w:sdtContent>
        <w:r w:rsidR="003F2C7F" w:rsidRPr="003F63C7">
          <w:rPr>
            <w:color w:val="1A2A6A"/>
            <w:sz w:val="18"/>
            <w:szCs w:val="18"/>
          </w:rPr>
          <w:fldChar w:fldCharType="begin"/>
        </w:r>
        <w:r w:rsidR="003F2C7F" w:rsidRPr="003F63C7">
          <w:rPr>
            <w:color w:val="1A2A6A"/>
            <w:sz w:val="18"/>
            <w:szCs w:val="18"/>
          </w:rPr>
          <w:instrText xml:space="preserve"> PAGE   \* MERGEFORMAT </w:instrText>
        </w:r>
        <w:r w:rsidR="003F2C7F" w:rsidRPr="003F63C7">
          <w:rPr>
            <w:color w:val="1A2A6A"/>
            <w:sz w:val="18"/>
            <w:szCs w:val="18"/>
          </w:rPr>
          <w:fldChar w:fldCharType="separate"/>
        </w:r>
        <w:r w:rsidR="00557F8A">
          <w:rPr>
            <w:noProof/>
            <w:color w:val="1A2A6A"/>
            <w:sz w:val="18"/>
            <w:szCs w:val="18"/>
          </w:rPr>
          <w:t>3</w:t>
        </w:r>
        <w:r w:rsidR="003F2C7F" w:rsidRPr="003F63C7">
          <w:rPr>
            <w:noProof/>
            <w:color w:val="1A2A6A"/>
            <w:sz w:val="18"/>
            <w:szCs w:val="18"/>
          </w:rPr>
          <w:fldChar w:fldCharType="end"/>
        </w:r>
        <w:r w:rsidR="003F2C7F" w:rsidRPr="003F63C7">
          <w:rPr>
            <w:noProof/>
            <w:color w:val="1A2A6A"/>
            <w:sz w:val="18"/>
            <w:szCs w:val="18"/>
          </w:rPr>
          <w:t>.</w:t>
        </w:r>
        <w:r w:rsidR="003F2C7F" w:rsidRPr="003F63C7">
          <w:rPr>
            <w:noProof/>
            <w:color w:val="1A2A6A"/>
            <w:sz w:val="18"/>
            <w:szCs w:val="18"/>
          </w:rPr>
          <w:tab/>
        </w:r>
        <w:r w:rsidR="003F2C7F" w:rsidRPr="003F63C7">
          <w:rPr>
            <w:noProof/>
            <w:sz w:val="18"/>
            <w:szCs w:val="18"/>
          </w:rPr>
          <w:t>Mn Services Vermogensbeheer B.V.</w:t>
        </w:r>
        <w:r w:rsidR="00C97E35" w:rsidRPr="003F63C7">
          <w:rPr>
            <w:noProof/>
            <w:sz w:val="18"/>
            <w:szCs w:val="18"/>
          </w:rPr>
          <w:t>:</w:t>
        </w:r>
        <w:r w:rsidR="003F2C7F" w:rsidRPr="003F63C7">
          <w:rPr>
            <w:noProof/>
            <w:sz w:val="18"/>
            <w:szCs w:val="18"/>
          </w:rPr>
          <w:t xml:space="preserve">  Jaarverslag best execution aandelen</w:t>
        </w:r>
      </w:sdtContent>
    </w:sdt>
    <w:r w:rsidR="00C97E35" w:rsidRPr="003F63C7">
      <w:rPr>
        <w:noProof/>
        <w:sz w:val="18"/>
        <w:szCs w:val="18"/>
      </w:rPr>
      <w:t xml:space="preserve"> 201</w:t>
    </w:r>
    <w:r w:rsidR="00324EDD">
      <w:rPr>
        <w:noProof/>
        <w:sz w:val="18"/>
        <w:szCs w:val="18"/>
      </w:rPr>
      <w:t>8</w:t>
    </w:r>
  </w:p>
  <w:p w:rsidR="00324EDD" w:rsidRPr="003F63C7" w:rsidRDefault="00324EDD" w:rsidP="003F2C7F">
    <w:pPr>
      <w:pStyle w:val="Footer"/>
      <w:tabs>
        <w:tab w:val="left" w:pos="851"/>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66D" w:rsidRDefault="0093266D" w:rsidP="003F2C7F">
      <w:pPr>
        <w:spacing w:line="240" w:lineRule="auto"/>
      </w:pPr>
      <w:r>
        <w:separator/>
      </w:r>
    </w:p>
  </w:footnote>
  <w:footnote w:type="continuationSeparator" w:id="0">
    <w:p w:rsidR="0093266D" w:rsidRDefault="0093266D" w:rsidP="003F2C7F">
      <w:pPr>
        <w:spacing w:line="240" w:lineRule="auto"/>
      </w:pPr>
      <w:r>
        <w:continuationSeparator/>
      </w:r>
    </w:p>
  </w:footnote>
  <w:footnote w:id="1">
    <w:p w:rsidR="004002E6" w:rsidRPr="004002E6" w:rsidRDefault="004002E6" w:rsidP="004002E6">
      <w:pPr>
        <w:pStyle w:val="FootnoteText"/>
        <w:rPr>
          <w:sz w:val="18"/>
          <w:szCs w:val="18"/>
        </w:rPr>
      </w:pPr>
      <w:r w:rsidRPr="004002E6">
        <w:rPr>
          <w:rStyle w:val="FootnoteReference"/>
          <w:sz w:val="18"/>
          <w:szCs w:val="18"/>
        </w:rPr>
        <w:footnoteRef/>
      </w:r>
      <w:r w:rsidRPr="004002E6">
        <w:rPr>
          <w:sz w:val="18"/>
          <w:szCs w:val="18"/>
        </w:rPr>
        <w:t xml:space="preserve"> Onder aandelen worden de volgende instrumenten verstaan: Aandelen, ADR’s, AGR’s , Convertible Preferente Aandelen, REITs, Aandelencertificaten, Preferente Aandelen, Rights, Scripts en Warrants.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6A92"/>
    <w:multiLevelType w:val="multilevel"/>
    <w:tmpl w:val="D2D00C68"/>
    <w:styleLink w:val="MNListBullet"/>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 w15:restartNumberingAfterBreak="0">
    <w:nsid w:val="1D796BC0"/>
    <w:multiLevelType w:val="hybridMultilevel"/>
    <w:tmpl w:val="076049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C063E"/>
    <w:multiLevelType w:val="multilevel"/>
    <w:tmpl w:val="E1121E66"/>
    <w:styleLink w:val="MNListDash"/>
    <w:lvl w:ilvl="0">
      <w:start w:val="1"/>
      <w:numFmt w:val="bullet"/>
      <w:lvlText w:val="-"/>
      <w:lvlJc w:val="left"/>
      <w:pPr>
        <w:ind w:left="340" w:hanging="340"/>
      </w:pPr>
      <w:rPr>
        <w:rFonts w:ascii="Calibri" w:hAnsi="Calibri" w:hint="default"/>
        <w:color w:val="auto"/>
        <w:sz w:val="21"/>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sz w:val="21"/>
      </w:rPr>
    </w:lvl>
    <w:lvl w:ilvl="3">
      <w:start w:val="1"/>
      <w:numFmt w:val="bullet"/>
      <w:lvlText w:val="-"/>
      <w:lvlJc w:val="left"/>
      <w:pPr>
        <w:ind w:left="1360" w:hanging="340"/>
      </w:pPr>
      <w:rPr>
        <w:rFonts w:ascii="Calibri" w:hAnsi="Calibri" w:hint="default"/>
        <w:color w:val="auto"/>
        <w:sz w:val="21"/>
      </w:rPr>
    </w:lvl>
    <w:lvl w:ilvl="4">
      <w:start w:val="1"/>
      <w:numFmt w:val="bullet"/>
      <w:lvlText w:val="-"/>
      <w:lvlJc w:val="left"/>
      <w:pPr>
        <w:ind w:left="1700" w:hanging="340"/>
      </w:pPr>
      <w:rPr>
        <w:rFonts w:ascii="Calibri" w:hAnsi="Calibri" w:hint="default"/>
        <w:color w:val="auto"/>
        <w:sz w:val="21"/>
      </w:rPr>
    </w:lvl>
    <w:lvl w:ilvl="5">
      <w:start w:val="1"/>
      <w:numFmt w:val="bullet"/>
      <w:lvlText w:val="-"/>
      <w:lvlJc w:val="left"/>
      <w:pPr>
        <w:ind w:left="2040" w:hanging="340"/>
      </w:pPr>
      <w:rPr>
        <w:rFonts w:ascii="Calibri" w:hAnsi="Calibri" w:hint="default"/>
        <w:color w:val="auto"/>
        <w:sz w:val="21"/>
      </w:rPr>
    </w:lvl>
    <w:lvl w:ilvl="6">
      <w:start w:val="1"/>
      <w:numFmt w:val="bullet"/>
      <w:lvlText w:val="-"/>
      <w:lvlJc w:val="left"/>
      <w:pPr>
        <w:ind w:left="2380" w:hanging="340"/>
      </w:pPr>
      <w:rPr>
        <w:rFonts w:ascii="Calibri" w:hAnsi="Calibri" w:hint="default"/>
        <w:color w:val="auto"/>
        <w:sz w:val="21"/>
      </w:rPr>
    </w:lvl>
    <w:lvl w:ilvl="7">
      <w:start w:val="1"/>
      <w:numFmt w:val="bullet"/>
      <w:lvlText w:val="-"/>
      <w:lvlJc w:val="left"/>
      <w:pPr>
        <w:ind w:left="2720" w:hanging="340"/>
      </w:pPr>
      <w:rPr>
        <w:rFonts w:ascii="Calibri" w:hAnsi="Calibri" w:hint="default"/>
        <w:color w:val="auto"/>
        <w:sz w:val="21"/>
      </w:rPr>
    </w:lvl>
    <w:lvl w:ilvl="8">
      <w:start w:val="1"/>
      <w:numFmt w:val="bullet"/>
      <w:lvlText w:val="-"/>
      <w:lvlJc w:val="left"/>
      <w:pPr>
        <w:ind w:left="3060" w:hanging="340"/>
      </w:pPr>
      <w:rPr>
        <w:rFonts w:ascii="Calibri" w:hAnsi="Calibri" w:hint="default"/>
        <w:color w:val="auto"/>
        <w:sz w:val="21"/>
      </w:rPr>
    </w:lvl>
  </w:abstractNum>
  <w:abstractNum w:abstractNumId="3" w15:restartNumberingAfterBreak="0">
    <w:nsid w:val="389B5A01"/>
    <w:multiLevelType w:val="hybridMultilevel"/>
    <w:tmpl w:val="5C9E7AA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F96ACB"/>
    <w:multiLevelType w:val="multilevel"/>
    <w:tmpl w:val="859077B2"/>
    <w:styleLink w:val="MNListnumber"/>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decimal"/>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decimal"/>
      <w:lvlText w:val="%5"/>
      <w:lvlJc w:val="left"/>
      <w:pPr>
        <w:ind w:left="1701" w:hanging="340"/>
      </w:pPr>
      <w:rPr>
        <w:rFonts w:hint="default"/>
      </w:rPr>
    </w:lvl>
    <w:lvl w:ilvl="5">
      <w:start w:val="1"/>
      <w:numFmt w:val="decimal"/>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decimal"/>
      <w:lvlText w:val="%8"/>
      <w:lvlJc w:val="left"/>
      <w:pPr>
        <w:ind w:left="2722" w:hanging="341"/>
      </w:pPr>
      <w:rPr>
        <w:rFonts w:hint="default"/>
      </w:rPr>
    </w:lvl>
    <w:lvl w:ilvl="8">
      <w:start w:val="1"/>
      <w:numFmt w:val="decimal"/>
      <w:lvlText w:val="%9"/>
      <w:lvlJc w:val="left"/>
      <w:pPr>
        <w:ind w:left="3062" w:hanging="340"/>
      </w:pPr>
      <w:rPr>
        <w:rFonts w:hint="default"/>
      </w:rPr>
    </w:lvl>
  </w:abstractNum>
  <w:abstractNum w:abstractNumId="5" w15:restartNumberingAfterBreak="0">
    <w:nsid w:val="5A2D44FA"/>
    <w:multiLevelType w:val="multilevel"/>
    <w:tmpl w:val="31109C0C"/>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79A8691A"/>
    <w:multiLevelType w:val="multilevel"/>
    <w:tmpl w:val="4EFEFE88"/>
    <w:styleLink w:val="MNListCharacter"/>
    <w:lvl w:ilvl="0">
      <w:start w:val="1"/>
      <w:numFmt w:val="upperLetter"/>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upperLetter"/>
      <w:lvlText w:val="%3"/>
      <w:lvlJc w:val="left"/>
      <w:pPr>
        <w:ind w:left="1021" w:hanging="341"/>
      </w:pPr>
      <w:rPr>
        <w:rFonts w:hint="default"/>
      </w:rPr>
    </w:lvl>
    <w:lvl w:ilvl="3">
      <w:start w:val="1"/>
      <w:numFmt w:val="upperLetter"/>
      <w:lvlText w:val="%4"/>
      <w:lvlJc w:val="left"/>
      <w:pPr>
        <w:ind w:left="1361" w:hanging="340"/>
      </w:pPr>
      <w:rPr>
        <w:rFonts w:hint="default"/>
      </w:rPr>
    </w:lvl>
    <w:lvl w:ilvl="4">
      <w:start w:val="1"/>
      <w:numFmt w:val="upperLetter"/>
      <w:lvlText w:val="%5"/>
      <w:lvlJc w:val="left"/>
      <w:pPr>
        <w:ind w:left="1701" w:hanging="340"/>
      </w:pPr>
      <w:rPr>
        <w:rFonts w:hint="default"/>
      </w:rPr>
    </w:lvl>
    <w:lvl w:ilvl="5">
      <w:start w:val="1"/>
      <w:numFmt w:val="upperLetter"/>
      <w:lvlText w:val="%6"/>
      <w:lvlJc w:val="left"/>
      <w:pPr>
        <w:ind w:left="2041" w:hanging="340"/>
      </w:pPr>
      <w:rPr>
        <w:rFonts w:hint="default"/>
      </w:rPr>
    </w:lvl>
    <w:lvl w:ilvl="6">
      <w:start w:val="1"/>
      <w:numFmt w:val="upperLetter"/>
      <w:lvlText w:val="%7"/>
      <w:lvlJc w:val="left"/>
      <w:pPr>
        <w:ind w:left="2381" w:hanging="340"/>
      </w:pPr>
      <w:rPr>
        <w:rFonts w:hint="default"/>
      </w:rPr>
    </w:lvl>
    <w:lvl w:ilvl="7">
      <w:start w:val="1"/>
      <w:numFmt w:val="upperLetter"/>
      <w:lvlText w:val="%8"/>
      <w:lvlJc w:val="left"/>
      <w:pPr>
        <w:ind w:left="2722" w:hanging="341"/>
      </w:pPr>
      <w:rPr>
        <w:rFonts w:hint="default"/>
      </w:rPr>
    </w:lvl>
    <w:lvl w:ilvl="8">
      <w:start w:val="1"/>
      <w:numFmt w:val="upperLetter"/>
      <w:lvlText w:val="%9"/>
      <w:lvlJc w:val="left"/>
      <w:pPr>
        <w:ind w:left="3062" w:hanging="340"/>
      </w:pPr>
      <w:rPr>
        <w:rFonts w:hint="default"/>
      </w:rPr>
    </w:lvl>
  </w:abstractNum>
  <w:num w:numId="1">
    <w:abstractNumId w:val="0"/>
  </w:num>
  <w:num w:numId="2">
    <w:abstractNumId w:val="6"/>
  </w:num>
  <w:num w:numId="3">
    <w:abstractNumId w:val="2"/>
  </w:num>
  <w:num w:numId="4">
    <w:abstractNumId w:val="4"/>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7B"/>
    <w:rsid w:val="00000056"/>
    <w:rsid w:val="001843FA"/>
    <w:rsid w:val="00324EDD"/>
    <w:rsid w:val="003A2986"/>
    <w:rsid w:val="003A2AC9"/>
    <w:rsid w:val="003C229D"/>
    <w:rsid w:val="003F2C7F"/>
    <w:rsid w:val="003F63C7"/>
    <w:rsid w:val="004002E6"/>
    <w:rsid w:val="004E2141"/>
    <w:rsid w:val="00535037"/>
    <w:rsid w:val="00550B75"/>
    <w:rsid w:val="00557F8A"/>
    <w:rsid w:val="005C2AC6"/>
    <w:rsid w:val="007B6B09"/>
    <w:rsid w:val="007E6611"/>
    <w:rsid w:val="0089516A"/>
    <w:rsid w:val="008B67E0"/>
    <w:rsid w:val="009243CC"/>
    <w:rsid w:val="0093266D"/>
    <w:rsid w:val="00B10CFE"/>
    <w:rsid w:val="00B2506C"/>
    <w:rsid w:val="00B54C7B"/>
    <w:rsid w:val="00B73ADA"/>
    <w:rsid w:val="00BA291F"/>
    <w:rsid w:val="00BB1B5C"/>
    <w:rsid w:val="00C97E35"/>
    <w:rsid w:val="00D5098F"/>
    <w:rsid w:val="00D56643"/>
    <w:rsid w:val="00DD5C49"/>
    <w:rsid w:val="00E341E6"/>
    <w:rsid w:val="00EA345A"/>
    <w:rsid w:val="00F85966"/>
    <w:rsid w:val="00F90553"/>
    <w:rsid w:val="00FC39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80CA3-AAB3-418F-96F4-994CA19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7B"/>
    <w:pPr>
      <w:spacing w:after="0" w:line="280" w:lineRule="atLeast"/>
    </w:pPr>
    <w:rPr>
      <w:rFonts w:ascii="Georgia" w:hAnsi="Georgia" w:cs="Times New Roman"/>
      <w:sz w:val="21"/>
    </w:rPr>
  </w:style>
  <w:style w:type="paragraph" w:styleId="Heading1">
    <w:name w:val="heading 1"/>
    <w:basedOn w:val="Normal"/>
    <w:next w:val="Normal"/>
    <w:link w:val="Heading1Char"/>
    <w:uiPriority w:val="9"/>
    <w:qFormat/>
    <w:rsid w:val="00B54C7B"/>
    <w:pPr>
      <w:keepNext/>
      <w:keepLines/>
      <w:numPr>
        <w:numId w:val="13"/>
      </w:numPr>
      <w:spacing w:before="240" w:after="240"/>
      <w:outlineLvl w:val="0"/>
    </w:pPr>
    <w:rPr>
      <w:rFonts w:eastAsia="Times New Roman"/>
      <w:bCs/>
      <w:color w:val="1A2A6A"/>
      <w:sz w:val="48"/>
      <w:szCs w:val="28"/>
      <w:lang w:eastAsia="nl-NL"/>
    </w:rPr>
  </w:style>
  <w:style w:type="paragraph" w:styleId="Heading2">
    <w:name w:val="heading 2"/>
    <w:basedOn w:val="Heading1"/>
    <w:next w:val="Normal"/>
    <w:link w:val="Heading2Char"/>
    <w:uiPriority w:val="9"/>
    <w:qFormat/>
    <w:rsid w:val="008B67E0"/>
    <w:pPr>
      <w:numPr>
        <w:ilvl w:val="1"/>
      </w:numPr>
      <w:outlineLvl w:val="1"/>
    </w:pPr>
    <w:rPr>
      <w:bCs w:val="0"/>
      <w:color w:val="35A1DF"/>
      <w:sz w:val="24"/>
      <w:szCs w:val="26"/>
    </w:rPr>
  </w:style>
  <w:style w:type="paragraph" w:styleId="Heading3">
    <w:name w:val="heading 3"/>
    <w:basedOn w:val="Heading2"/>
    <w:next w:val="Normal"/>
    <w:link w:val="Heading3Char"/>
    <w:uiPriority w:val="9"/>
    <w:qFormat/>
    <w:rsid w:val="007B6B09"/>
    <w:pPr>
      <w:numPr>
        <w:ilvl w:val="2"/>
      </w:numPr>
      <w:outlineLvl w:val="2"/>
    </w:pPr>
    <w:rPr>
      <w:rFonts w:eastAsiaTheme="majorEastAsia" w:cstheme="majorBidi"/>
      <w:bCs/>
    </w:rPr>
  </w:style>
  <w:style w:type="paragraph" w:styleId="Heading4">
    <w:name w:val="heading 4"/>
    <w:basedOn w:val="Heading3"/>
    <w:next w:val="Normal"/>
    <w:link w:val="Heading4Char"/>
    <w:uiPriority w:val="9"/>
    <w:semiHidden/>
    <w:qFormat/>
    <w:rsid w:val="007B6B09"/>
    <w:pPr>
      <w:numPr>
        <w:ilvl w:val="3"/>
      </w:numPr>
      <w:outlineLvl w:val="3"/>
    </w:pPr>
    <w:rPr>
      <w:bCs w:val="0"/>
      <w:iCs/>
    </w:rPr>
  </w:style>
  <w:style w:type="paragraph" w:styleId="Heading5">
    <w:name w:val="heading 5"/>
    <w:basedOn w:val="Heading4"/>
    <w:next w:val="Normal"/>
    <w:link w:val="Heading5Char"/>
    <w:uiPriority w:val="9"/>
    <w:semiHidden/>
    <w:qFormat/>
    <w:rsid w:val="007B6B09"/>
    <w:pPr>
      <w:numPr>
        <w:ilvl w:val="4"/>
      </w:numPr>
      <w:outlineLvl w:val="4"/>
    </w:pPr>
  </w:style>
  <w:style w:type="paragraph" w:styleId="Heading6">
    <w:name w:val="heading 6"/>
    <w:basedOn w:val="Heading5"/>
    <w:next w:val="Normal"/>
    <w:link w:val="Heading6Char"/>
    <w:uiPriority w:val="9"/>
    <w:semiHidden/>
    <w:qFormat/>
    <w:rsid w:val="007B6B09"/>
    <w:pPr>
      <w:numPr>
        <w:ilvl w:val="5"/>
      </w:numPr>
      <w:outlineLvl w:val="5"/>
    </w:pPr>
    <w:rPr>
      <w:iCs w:val="0"/>
    </w:rPr>
  </w:style>
  <w:style w:type="paragraph" w:styleId="Heading7">
    <w:name w:val="heading 7"/>
    <w:basedOn w:val="Heading6"/>
    <w:next w:val="Normal"/>
    <w:link w:val="Heading7Char"/>
    <w:uiPriority w:val="9"/>
    <w:semiHidden/>
    <w:qFormat/>
    <w:rsid w:val="007B6B09"/>
    <w:pPr>
      <w:numPr>
        <w:ilvl w:val="6"/>
      </w:numPr>
      <w:outlineLvl w:val="6"/>
    </w:pPr>
    <w:rPr>
      <w:iCs/>
    </w:rPr>
  </w:style>
  <w:style w:type="paragraph" w:styleId="Heading8">
    <w:name w:val="heading 8"/>
    <w:basedOn w:val="Heading7"/>
    <w:next w:val="Normal"/>
    <w:link w:val="Heading8Char"/>
    <w:uiPriority w:val="9"/>
    <w:semiHidden/>
    <w:qFormat/>
    <w:rsid w:val="007B6B09"/>
    <w:pPr>
      <w:numPr>
        <w:ilvl w:val="7"/>
      </w:numPr>
      <w:outlineLvl w:val="7"/>
    </w:pPr>
    <w:rPr>
      <w:szCs w:val="20"/>
    </w:rPr>
  </w:style>
  <w:style w:type="paragraph" w:styleId="Heading9">
    <w:name w:val="heading 9"/>
    <w:basedOn w:val="Heading8"/>
    <w:next w:val="Normal"/>
    <w:link w:val="Heading9Char"/>
    <w:uiPriority w:val="9"/>
    <w:semiHidden/>
    <w:qFormat/>
    <w:rsid w:val="007B6B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Accent">
    <w:name w:val="MN_Accent"/>
    <w:basedOn w:val="Normal"/>
    <w:next w:val="Normal"/>
    <w:qFormat/>
    <w:rsid w:val="007B6B09"/>
    <w:pPr>
      <w:spacing w:after="200" w:line="276" w:lineRule="auto"/>
    </w:pPr>
    <w:rPr>
      <w:i/>
    </w:rPr>
  </w:style>
  <w:style w:type="paragraph" w:customStyle="1" w:styleId="MNDisclaimer">
    <w:name w:val="MN_Disclaimer"/>
    <w:basedOn w:val="Normal"/>
    <w:next w:val="Normal"/>
    <w:qFormat/>
    <w:rsid w:val="007B6B09"/>
    <w:pPr>
      <w:spacing w:line="230" w:lineRule="atLeast"/>
    </w:pPr>
    <w:rPr>
      <w:rFonts w:eastAsia="Times New Roman"/>
      <w:szCs w:val="20"/>
      <w:lang w:eastAsia="nl-NL"/>
    </w:rPr>
  </w:style>
  <w:style w:type="paragraph" w:customStyle="1" w:styleId="MNDocumentInfo">
    <w:name w:val="MN_DocumentInfo"/>
    <w:basedOn w:val="Normal"/>
    <w:qFormat/>
    <w:rsid w:val="007B6B09"/>
    <w:pPr>
      <w:spacing w:line="280" w:lineRule="exact"/>
    </w:pPr>
    <w:rPr>
      <w:rFonts w:eastAsia="Times New Roman"/>
      <w:szCs w:val="20"/>
      <w:lang w:eastAsia="nl-NL"/>
    </w:rPr>
  </w:style>
  <w:style w:type="paragraph" w:customStyle="1" w:styleId="MNDocumentInfoEmphasized">
    <w:name w:val="MN_DocumentInfoEmphasized"/>
    <w:basedOn w:val="MNDocumentInfo"/>
    <w:next w:val="MNDocumentInfo"/>
    <w:qFormat/>
    <w:rsid w:val="007B6B09"/>
    <w:rPr>
      <w:b/>
    </w:rPr>
  </w:style>
  <w:style w:type="paragraph" w:customStyle="1" w:styleId="MNDocumentInfoHeading">
    <w:name w:val="MN_DocumentInfoHeading"/>
    <w:basedOn w:val="MNDocumentInfo"/>
    <w:qFormat/>
    <w:rsid w:val="007B6B09"/>
    <w:rPr>
      <w:sz w:val="16"/>
    </w:rPr>
  </w:style>
  <w:style w:type="paragraph" w:customStyle="1" w:styleId="MNDocumentTitle">
    <w:name w:val="MN_DocumentTitle"/>
    <w:basedOn w:val="Normal"/>
    <w:next w:val="Normal"/>
    <w:qFormat/>
    <w:rsid w:val="007B6B09"/>
    <w:pPr>
      <w:framePr w:w="2835" w:h="425" w:hRule="exact" w:wrap="around" w:vAnchor="page" w:hAnchor="page" w:x="1702" w:y="1419"/>
    </w:pPr>
    <w:rPr>
      <w:sz w:val="36"/>
    </w:rPr>
  </w:style>
  <w:style w:type="paragraph" w:customStyle="1" w:styleId="MNEntity">
    <w:name w:val="MN_Entity"/>
    <w:basedOn w:val="Normal"/>
    <w:qFormat/>
    <w:rsid w:val="007B6B09"/>
    <w:pPr>
      <w:framePr w:w="2041" w:h="2948" w:hRule="exact" w:wrap="around" w:vAnchor="page" w:hAnchor="page" w:x="8506" w:y="2689"/>
      <w:tabs>
        <w:tab w:val="left" w:pos="142"/>
      </w:tabs>
      <w:spacing w:line="230" w:lineRule="atLeast"/>
    </w:pPr>
    <w:rPr>
      <w:rFonts w:eastAsia="Times New Roman"/>
      <w:noProof/>
      <w:sz w:val="16"/>
      <w:szCs w:val="24"/>
      <w:lang w:eastAsia="nl-NL"/>
    </w:rPr>
  </w:style>
  <w:style w:type="paragraph" w:customStyle="1" w:styleId="MNEntityHeading">
    <w:name w:val="MN_EntityHeading"/>
    <w:basedOn w:val="MNEntity"/>
    <w:next w:val="MNEntity"/>
    <w:qFormat/>
    <w:rsid w:val="007B6B09"/>
    <w:pPr>
      <w:framePr w:wrap="around"/>
    </w:pPr>
    <w:rPr>
      <w:b/>
    </w:rPr>
  </w:style>
  <w:style w:type="paragraph" w:customStyle="1" w:styleId="MNHeading">
    <w:name w:val="MN_Heading"/>
    <w:basedOn w:val="Normal"/>
    <w:next w:val="Normal"/>
    <w:qFormat/>
    <w:rsid w:val="007B6B09"/>
    <w:rPr>
      <w:b/>
      <w:sz w:val="24"/>
      <w:lang w:eastAsia="nl-NL"/>
    </w:rPr>
  </w:style>
  <w:style w:type="paragraph" w:customStyle="1" w:styleId="MNIntroduction">
    <w:name w:val="MN_Introduction"/>
    <w:basedOn w:val="Normal"/>
    <w:qFormat/>
    <w:rsid w:val="007B6B09"/>
    <w:pPr>
      <w:spacing w:line="320" w:lineRule="atLeast"/>
    </w:pPr>
    <w:rPr>
      <w:sz w:val="24"/>
    </w:rPr>
  </w:style>
  <w:style w:type="numbering" w:customStyle="1" w:styleId="MNListBullet">
    <w:name w:val="MN_ListBullet"/>
    <w:uiPriority w:val="99"/>
    <w:rsid w:val="007B6B09"/>
    <w:pPr>
      <w:numPr>
        <w:numId w:val="1"/>
      </w:numPr>
    </w:pPr>
  </w:style>
  <w:style w:type="numbering" w:customStyle="1" w:styleId="MNListCharacter">
    <w:name w:val="MN_ListCharacter"/>
    <w:uiPriority w:val="99"/>
    <w:rsid w:val="007B6B09"/>
    <w:pPr>
      <w:numPr>
        <w:numId w:val="2"/>
      </w:numPr>
    </w:pPr>
  </w:style>
  <w:style w:type="numbering" w:customStyle="1" w:styleId="MNListDash">
    <w:name w:val="MN_ListDash"/>
    <w:uiPriority w:val="99"/>
    <w:rsid w:val="007B6B09"/>
    <w:pPr>
      <w:numPr>
        <w:numId w:val="3"/>
      </w:numPr>
    </w:pPr>
  </w:style>
  <w:style w:type="numbering" w:customStyle="1" w:styleId="MNListnumber">
    <w:name w:val="MN_Listnumber"/>
    <w:uiPriority w:val="99"/>
    <w:rsid w:val="007B6B09"/>
    <w:pPr>
      <w:numPr>
        <w:numId w:val="4"/>
      </w:numPr>
    </w:pPr>
  </w:style>
  <w:style w:type="paragraph" w:customStyle="1" w:styleId="MNSubheading">
    <w:name w:val="MN_Subheading"/>
    <w:basedOn w:val="Normal"/>
    <w:next w:val="Normal"/>
    <w:qFormat/>
    <w:rsid w:val="007B6B09"/>
    <w:rPr>
      <w:b/>
      <w:lang w:eastAsia="nl-NL"/>
    </w:rPr>
  </w:style>
  <w:style w:type="paragraph" w:styleId="Caption">
    <w:name w:val="caption"/>
    <w:basedOn w:val="Normal"/>
    <w:next w:val="Normal"/>
    <w:uiPriority w:val="35"/>
    <w:qFormat/>
    <w:rsid w:val="007B6B09"/>
    <w:pPr>
      <w:spacing w:line="230" w:lineRule="atLeast"/>
    </w:pPr>
    <w:rPr>
      <w:bCs/>
      <w:sz w:val="16"/>
      <w:szCs w:val="18"/>
    </w:rPr>
  </w:style>
  <w:style w:type="character" w:customStyle="1" w:styleId="Heading1Char">
    <w:name w:val="Heading 1 Char"/>
    <w:link w:val="Heading1"/>
    <w:uiPriority w:val="9"/>
    <w:rsid w:val="00B54C7B"/>
    <w:rPr>
      <w:rFonts w:ascii="Georgia" w:eastAsia="Times New Roman" w:hAnsi="Georgia" w:cs="Times New Roman"/>
      <w:bCs/>
      <w:color w:val="1A2A6A"/>
      <w:sz w:val="48"/>
      <w:szCs w:val="28"/>
      <w:lang w:eastAsia="nl-NL"/>
    </w:rPr>
  </w:style>
  <w:style w:type="character" w:customStyle="1" w:styleId="Heading2Char">
    <w:name w:val="Heading 2 Char"/>
    <w:link w:val="Heading2"/>
    <w:uiPriority w:val="9"/>
    <w:rsid w:val="008B67E0"/>
    <w:rPr>
      <w:rFonts w:ascii="Georgia" w:eastAsia="Times New Roman" w:hAnsi="Georgia" w:cs="Times New Roman"/>
      <w:color w:val="35A1DF"/>
      <w:sz w:val="24"/>
      <w:szCs w:val="26"/>
      <w:lang w:eastAsia="nl-NL"/>
    </w:rPr>
  </w:style>
  <w:style w:type="character" w:customStyle="1" w:styleId="Heading3Char">
    <w:name w:val="Heading 3 Char"/>
    <w:basedOn w:val="DefaultParagraphFont"/>
    <w:link w:val="Heading3"/>
    <w:uiPriority w:val="9"/>
    <w:rsid w:val="007B6B09"/>
    <w:rPr>
      <w:rFonts w:ascii="Calibri" w:eastAsiaTheme="majorEastAsia" w:hAnsi="Calibri" w:cstheme="majorBidi"/>
      <w:b/>
      <w:bCs/>
      <w:sz w:val="21"/>
      <w:szCs w:val="26"/>
      <w:lang w:eastAsia="nl-NL"/>
    </w:rPr>
  </w:style>
  <w:style w:type="character" w:customStyle="1" w:styleId="Heading4Char">
    <w:name w:val="Heading 4 Char"/>
    <w:basedOn w:val="DefaultParagraphFont"/>
    <w:link w:val="Heading4"/>
    <w:uiPriority w:val="9"/>
    <w:semiHidden/>
    <w:rsid w:val="007B6B09"/>
    <w:rPr>
      <w:rFonts w:ascii="Calibri" w:eastAsiaTheme="majorEastAsia" w:hAnsi="Calibri" w:cstheme="majorBidi"/>
      <w:b/>
      <w:iCs/>
      <w:sz w:val="21"/>
      <w:szCs w:val="26"/>
      <w:lang w:eastAsia="nl-NL"/>
    </w:rPr>
  </w:style>
  <w:style w:type="character" w:customStyle="1" w:styleId="Heading5Char">
    <w:name w:val="Heading 5 Char"/>
    <w:basedOn w:val="DefaultParagraphFont"/>
    <w:link w:val="Heading5"/>
    <w:uiPriority w:val="9"/>
    <w:semiHidden/>
    <w:rsid w:val="007B6B09"/>
    <w:rPr>
      <w:rFonts w:ascii="Calibri" w:eastAsiaTheme="majorEastAsia" w:hAnsi="Calibri" w:cstheme="majorBidi"/>
      <w:b/>
      <w:iCs/>
      <w:sz w:val="21"/>
      <w:szCs w:val="26"/>
      <w:lang w:eastAsia="nl-NL"/>
    </w:rPr>
  </w:style>
  <w:style w:type="character" w:customStyle="1" w:styleId="Heading6Char">
    <w:name w:val="Heading 6 Char"/>
    <w:basedOn w:val="DefaultParagraphFont"/>
    <w:link w:val="Heading6"/>
    <w:uiPriority w:val="9"/>
    <w:semiHidden/>
    <w:rsid w:val="007B6B09"/>
    <w:rPr>
      <w:rFonts w:ascii="Calibri" w:eastAsiaTheme="majorEastAsia" w:hAnsi="Calibri" w:cstheme="majorBidi"/>
      <w:b/>
      <w:sz w:val="21"/>
      <w:szCs w:val="26"/>
      <w:lang w:eastAsia="nl-NL"/>
    </w:rPr>
  </w:style>
  <w:style w:type="character" w:customStyle="1" w:styleId="Heading7Char">
    <w:name w:val="Heading 7 Char"/>
    <w:basedOn w:val="DefaultParagraphFont"/>
    <w:link w:val="Heading7"/>
    <w:uiPriority w:val="9"/>
    <w:semiHidden/>
    <w:rsid w:val="007B6B09"/>
    <w:rPr>
      <w:rFonts w:ascii="Calibri" w:eastAsiaTheme="majorEastAsia" w:hAnsi="Calibri" w:cstheme="majorBidi"/>
      <w:b/>
      <w:iCs/>
      <w:sz w:val="21"/>
      <w:szCs w:val="26"/>
      <w:lang w:eastAsia="nl-NL"/>
    </w:rPr>
  </w:style>
  <w:style w:type="character" w:customStyle="1" w:styleId="Heading8Char">
    <w:name w:val="Heading 8 Char"/>
    <w:basedOn w:val="DefaultParagraphFont"/>
    <w:link w:val="Heading8"/>
    <w:uiPriority w:val="9"/>
    <w:semiHidden/>
    <w:rsid w:val="007B6B09"/>
    <w:rPr>
      <w:rFonts w:ascii="Calibri" w:eastAsiaTheme="majorEastAsia" w:hAnsi="Calibri" w:cstheme="majorBidi"/>
      <w:b/>
      <w:iCs/>
      <w:sz w:val="21"/>
      <w:szCs w:val="20"/>
      <w:lang w:eastAsia="nl-NL"/>
    </w:rPr>
  </w:style>
  <w:style w:type="character" w:customStyle="1" w:styleId="Heading9Char">
    <w:name w:val="Heading 9 Char"/>
    <w:basedOn w:val="DefaultParagraphFont"/>
    <w:link w:val="Heading9"/>
    <w:uiPriority w:val="9"/>
    <w:semiHidden/>
    <w:rsid w:val="007B6B09"/>
    <w:rPr>
      <w:rFonts w:ascii="Calibri" w:eastAsiaTheme="majorEastAsia" w:hAnsi="Calibri" w:cstheme="majorBidi"/>
      <w:b/>
      <w:sz w:val="21"/>
      <w:szCs w:val="20"/>
      <w:lang w:eastAsia="nl-NL"/>
    </w:rPr>
  </w:style>
  <w:style w:type="paragraph" w:styleId="ListParagraph">
    <w:name w:val="List Paragraph"/>
    <w:basedOn w:val="Normal"/>
    <w:uiPriority w:val="34"/>
    <w:qFormat/>
    <w:rsid w:val="00B54C7B"/>
    <w:pPr>
      <w:spacing w:before="120" w:line="240" w:lineRule="auto"/>
      <w:contextualSpacing/>
    </w:pPr>
    <w:rPr>
      <w:rFonts w:eastAsia="Times New Roman"/>
      <w:szCs w:val="20"/>
    </w:rPr>
  </w:style>
  <w:style w:type="paragraph" w:styleId="Header">
    <w:name w:val="header"/>
    <w:basedOn w:val="Normal"/>
    <w:link w:val="HeaderChar"/>
    <w:uiPriority w:val="99"/>
    <w:unhideWhenUsed/>
    <w:rsid w:val="003F2C7F"/>
    <w:pPr>
      <w:tabs>
        <w:tab w:val="center" w:pos="4513"/>
        <w:tab w:val="right" w:pos="9026"/>
      </w:tabs>
      <w:spacing w:line="240" w:lineRule="auto"/>
    </w:pPr>
  </w:style>
  <w:style w:type="character" w:customStyle="1" w:styleId="HeaderChar">
    <w:name w:val="Header Char"/>
    <w:basedOn w:val="DefaultParagraphFont"/>
    <w:link w:val="Header"/>
    <w:uiPriority w:val="99"/>
    <w:rsid w:val="003F2C7F"/>
    <w:rPr>
      <w:rFonts w:ascii="Georgia" w:hAnsi="Georgia" w:cs="Times New Roman"/>
      <w:sz w:val="21"/>
    </w:rPr>
  </w:style>
  <w:style w:type="paragraph" w:styleId="Footer">
    <w:name w:val="footer"/>
    <w:basedOn w:val="Normal"/>
    <w:link w:val="FooterChar"/>
    <w:uiPriority w:val="99"/>
    <w:unhideWhenUsed/>
    <w:rsid w:val="003F2C7F"/>
    <w:pPr>
      <w:tabs>
        <w:tab w:val="center" w:pos="4513"/>
        <w:tab w:val="right" w:pos="9026"/>
      </w:tabs>
      <w:spacing w:line="240" w:lineRule="auto"/>
    </w:pPr>
  </w:style>
  <w:style w:type="character" w:customStyle="1" w:styleId="FooterChar">
    <w:name w:val="Footer Char"/>
    <w:basedOn w:val="DefaultParagraphFont"/>
    <w:link w:val="Footer"/>
    <w:uiPriority w:val="99"/>
    <w:rsid w:val="003F2C7F"/>
    <w:rPr>
      <w:rFonts w:ascii="Georgia" w:hAnsi="Georgia" w:cs="Times New Roman"/>
      <w:sz w:val="21"/>
    </w:rPr>
  </w:style>
  <w:style w:type="paragraph" w:styleId="TOC2">
    <w:name w:val="toc 2"/>
    <w:basedOn w:val="Normal"/>
    <w:next w:val="Normal"/>
    <w:autoRedefine/>
    <w:uiPriority w:val="39"/>
    <w:unhideWhenUsed/>
    <w:rsid w:val="001843FA"/>
    <w:pPr>
      <w:spacing w:after="100"/>
      <w:ind w:left="210"/>
    </w:pPr>
  </w:style>
  <w:style w:type="paragraph" w:styleId="TOC1">
    <w:name w:val="toc 1"/>
    <w:basedOn w:val="Normal"/>
    <w:next w:val="Normal"/>
    <w:autoRedefine/>
    <w:uiPriority w:val="39"/>
    <w:unhideWhenUsed/>
    <w:rsid w:val="00C97E35"/>
    <w:pPr>
      <w:spacing w:before="120" w:after="220"/>
    </w:pPr>
  </w:style>
  <w:style w:type="character" w:styleId="Hyperlink">
    <w:name w:val="Hyperlink"/>
    <w:basedOn w:val="DefaultParagraphFont"/>
    <w:uiPriority w:val="99"/>
    <w:unhideWhenUsed/>
    <w:rsid w:val="001843FA"/>
    <w:rPr>
      <w:color w:val="0563C1" w:themeColor="hyperlink"/>
      <w:u w:val="single"/>
    </w:rPr>
  </w:style>
  <w:style w:type="paragraph" w:styleId="FootnoteText">
    <w:name w:val="footnote text"/>
    <w:basedOn w:val="Normal"/>
    <w:link w:val="FootnoteTextChar"/>
    <w:uiPriority w:val="99"/>
    <w:semiHidden/>
    <w:unhideWhenUsed/>
    <w:rsid w:val="004002E6"/>
    <w:pPr>
      <w:spacing w:line="240" w:lineRule="auto"/>
    </w:pPr>
    <w:rPr>
      <w:sz w:val="20"/>
      <w:szCs w:val="20"/>
    </w:rPr>
  </w:style>
  <w:style w:type="character" w:customStyle="1" w:styleId="FootnoteTextChar">
    <w:name w:val="Footnote Text Char"/>
    <w:basedOn w:val="DefaultParagraphFont"/>
    <w:link w:val="FootnoteText"/>
    <w:uiPriority w:val="99"/>
    <w:semiHidden/>
    <w:rsid w:val="004002E6"/>
    <w:rPr>
      <w:rFonts w:ascii="Georgia" w:hAnsi="Georgia" w:cs="Times New Roman"/>
      <w:sz w:val="20"/>
      <w:szCs w:val="20"/>
    </w:rPr>
  </w:style>
  <w:style w:type="character" w:styleId="FootnoteReference">
    <w:name w:val="footnote reference"/>
    <w:basedOn w:val="DefaultParagraphFont"/>
    <w:uiPriority w:val="99"/>
    <w:semiHidden/>
    <w:unhideWhenUsed/>
    <w:rsid w:val="004002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2B4B-0C6A-4D46-9922-F346C544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1046</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Mn jaarverslag Best Execution aandelen 2017</vt:lpstr>
    </vt:vector>
  </TitlesOfParts>
  <Company>Mn Services Vermogensbeheer B.V.</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 jaarverslag Best Execution aandelen 2017</dc:title>
  <dc:subject/>
  <dc:creator>Mn Services Vermogensbeheer B.V.</dc:creator>
  <cp:keywords/>
  <dc:description/>
  <cp:lastModifiedBy>Vincent Pieters</cp:lastModifiedBy>
  <cp:revision>3</cp:revision>
  <cp:lastPrinted>2018-04-30T11:59:00Z</cp:lastPrinted>
  <dcterms:created xsi:type="dcterms:W3CDTF">2019-03-28T08:55:00Z</dcterms:created>
  <dcterms:modified xsi:type="dcterms:W3CDTF">2019-03-28T08:59:00Z</dcterms:modified>
</cp:coreProperties>
</file>