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7B" w:rsidRDefault="00B54C7B"/>
    <w:p w:rsidR="00B54C7B" w:rsidRDefault="00B54C7B"/>
    <w:p w:rsidR="00B54C7B" w:rsidRDefault="00B54C7B"/>
    <w:p w:rsidR="00B54C7B" w:rsidRDefault="00B54C7B"/>
    <w:p w:rsidR="00B54C7B" w:rsidRDefault="00B54C7B"/>
    <w:p w:rsidR="00B54C7B" w:rsidRDefault="00B54C7B"/>
    <w:p w:rsidR="00B54C7B" w:rsidRDefault="00B54C7B"/>
    <w:p w:rsidR="00B54C7B" w:rsidRPr="00B54C7B" w:rsidRDefault="00B54C7B" w:rsidP="00B54C7B">
      <w:pPr>
        <w:ind w:left="993"/>
        <w:rPr>
          <w:color w:val="1A2A6A"/>
          <w:sz w:val="48"/>
          <w:szCs w:val="48"/>
        </w:rPr>
      </w:pPr>
      <w:r>
        <w:rPr>
          <w:color w:val="1A2A6A"/>
          <w:sz w:val="48"/>
          <w:szCs w:val="48"/>
        </w:rPr>
        <w:t xml:space="preserve">Jaarverslag </w:t>
      </w:r>
      <w:r w:rsidR="003F2C7F">
        <w:rPr>
          <w:color w:val="1A2A6A"/>
          <w:sz w:val="48"/>
          <w:szCs w:val="48"/>
        </w:rPr>
        <w:t>b</w:t>
      </w:r>
      <w:r w:rsidRPr="00B54C7B">
        <w:rPr>
          <w:color w:val="1A2A6A"/>
          <w:sz w:val="48"/>
          <w:szCs w:val="48"/>
        </w:rPr>
        <w:t xml:space="preserve">est execution </w:t>
      </w:r>
      <w:r w:rsidR="006C6B26">
        <w:rPr>
          <w:color w:val="1A2A6A"/>
          <w:sz w:val="48"/>
          <w:szCs w:val="48"/>
        </w:rPr>
        <w:t>treasury</w:t>
      </w:r>
    </w:p>
    <w:p w:rsidR="00D52DDF" w:rsidRDefault="00D52DDF" w:rsidP="00B54C7B">
      <w:pPr>
        <w:ind w:left="993"/>
        <w:rPr>
          <w:color w:val="1A2A6A"/>
          <w:sz w:val="40"/>
          <w:szCs w:val="48"/>
        </w:rPr>
      </w:pPr>
      <w:bookmarkStart w:id="0" w:name="_GoBack"/>
      <w:bookmarkEnd w:id="0"/>
    </w:p>
    <w:p w:rsidR="00B54C7B" w:rsidRPr="006C6B26" w:rsidRDefault="00B54C7B" w:rsidP="00B54C7B">
      <w:pPr>
        <w:ind w:left="993"/>
        <w:rPr>
          <w:color w:val="1A2A6A"/>
          <w:sz w:val="40"/>
          <w:szCs w:val="48"/>
        </w:rPr>
      </w:pPr>
      <w:r w:rsidRPr="006C6B26">
        <w:rPr>
          <w:color w:val="1A2A6A"/>
          <w:sz w:val="40"/>
          <w:szCs w:val="48"/>
        </w:rPr>
        <w:t>Mn Services Vermogensbeheer B.V.</w:t>
      </w:r>
    </w:p>
    <w:p w:rsidR="00B54C7B" w:rsidRDefault="00B54C7B" w:rsidP="00B54C7B">
      <w:pPr>
        <w:ind w:left="993"/>
      </w:pPr>
    </w:p>
    <w:p w:rsidR="00B54C7B" w:rsidRDefault="00570382" w:rsidP="00B54C7B">
      <w:pPr>
        <w:ind w:left="993"/>
      </w:pPr>
      <w:r w:rsidRPr="00B54C7B">
        <w:rPr>
          <w:noProof/>
          <w:lang w:eastAsia="nl-NL"/>
        </w:rPr>
        <w:drawing>
          <wp:anchor distT="0" distB="0" distL="114300" distR="114300" simplePos="0" relativeHeight="251661312" behindDoc="1" locked="0" layoutInCell="1" allowOverlap="1" wp14:anchorId="1941BADC" wp14:editId="09AA3A67">
            <wp:simplePos x="0" y="0"/>
            <wp:positionH relativeFrom="page">
              <wp:posOffset>807720</wp:posOffset>
            </wp:positionH>
            <wp:positionV relativeFrom="page">
              <wp:posOffset>3459480</wp:posOffset>
            </wp:positionV>
            <wp:extent cx="6115050" cy="4324350"/>
            <wp:effectExtent l="0" t="0" r="0" b="0"/>
            <wp:wrapNone/>
            <wp:docPr id="21" name="Month" descr="P:\MN\_Internal\Images\MN_maandrapportage_ill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N\_Internal\Images\MN_maandrapportage_illu_rgb.jpg"/>
                    <pic:cNvPicPr>
                      <a:picLocks noChangeAspect="1" noChangeArrowheads="1"/>
                    </pic:cNvPicPr>
                  </pic:nvPicPr>
                  <pic:blipFill>
                    <a:blip r:embed="rId8" cstate="print"/>
                    <a:srcRect/>
                    <a:stretch>
                      <a:fillRect/>
                    </a:stretch>
                  </pic:blipFill>
                  <pic:spPr bwMode="auto">
                    <a:xfrm>
                      <a:off x="0" y="0"/>
                      <a:ext cx="6115050" cy="4324350"/>
                    </a:xfrm>
                    <a:prstGeom prst="rect">
                      <a:avLst/>
                    </a:prstGeom>
                    <a:noFill/>
                    <a:ln w="9525">
                      <a:noFill/>
                      <a:miter lim="800000"/>
                      <a:headEnd/>
                      <a:tailEnd/>
                    </a:ln>
                  </pic:spPr>
                </pic:pic>
              </a:graphicData>
            </a:graphic>
          </wp:anchor>
        </w:drawing>
      </w:r>
    </w:p>
    <w:p w:rsidR="00B54C7B" w:rsidRDefault="00B54C7B" w:rsidP="00B54C7B">
      <w:pPr>
        <w:ind w:left="993"/>
      </w:pPr>
    </w:p>
    <w:p w:rsidR="00B54C7B" w:rsidRDefault="00B54C7B" w:rsidP="00B54C7B">
      <w:pPr>
        <w:ind w:left="993"/>
      </w:pPr>
    </w:p>
    <w:p w:rsidR="00B54C7B" w:rsidRDefault="004E3410" w:rsidP="00B54C7B">
      <w:pPr>
        <w:ind w:left="993"/>
        <w:jc w:val="right"/>
        <w:rPr>
          <w:color w:val="1A2A6A"/>
          <w:sz w:val="44"/>
        </w:rPr>
      </w:pPr>
      <w:r>
        <w:rPr>
          <w:color w:val="1A2A6A"/>
          <w:sz w:val="48"/>
        </w:rPr>
        <w:t>2018</w:t>
      </w:r>
      <w:r w:rsidR="00B54C7B" w:rsidRPr="006C6B26">
        <w:rPr>
          <w:color w:val="1A2A6A"/>
          <w:sz w:val="48"/>
        </w:rPr>
        <w:t xml:space="preserve"> </w:t>
      </w:r>
      <w:r w:rsidR="00B54C7B" w:rsidRPr="00B54C7B">
        <w:rPr>
          <w:color w:val="1A2A6A"/>
          <w:sz w:val="44"/>
        </w:rPr>
        <w:t xml:space="preserve">| </w:t>
      </w:r>
      <w:r w:rsidR="00474E8C">
        <w:rPr>
          <w:color w:val="1A2A6A"/>
          <w:sz w:val="40"/>
        </w:rPr>
        <w:t>01</w:t>
      </w:r>
      <w:r>
        <w:rPr>
          <w:color w:val="1A2A6A"/>
          <w:sz w:val="40"/>
        </w:rPr>
        <w:t xml:space="preserve"> April 2019</w:t>
      </w:r>
    </w:p>
    <w:p w:rsidR="00416376" w:rsidRDefault="00B54C7B" w:rsidP="00B54C7B">
      <w:r w:rsidRPr="00B54C7B">
        <w:rPr>
          <w:noProof/>
          <w:lang w:eastAsia="nl-NL"/>
        </w:rPr>
        <w:drawing>
          <wp:anchor distT="0" distB="0" distL="114300" distR="114300" simplePos="0" relativeHeight="251659264" behindDoc="1" locked="0" layoutInCell="1" allowOverlap="1" wp14:anchorId="7ECDF7E8" wp14:editId="3EAC8567">
            <wp:simplePos x="0" y="0"/>
            <wp:positionH relativeFrom="page">
              <wp:posOffset>914400</wp:posOffset>
            </wp:positionH>
            <wp:positionV relativeFrom="page">
              <wp:posOffset>914400</wp:posOffset>
            </wp:positionV>
            <wp:extent cx="1118870" cy="819150"/>
            <wp:effectExtent l="19050" t="0" r="5080" b="0"/>
            <wp:wrapNone/>
            <wp:docPr id="22" name="Picture 2" descr="M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_rgb.jpg"/>
                    <pic:cNvPicPr/>
                  </pic:nvPicPr>
                  <pic:blipFill>
                    <a:blip r:embed="rId9" cstate="print"/>
                    <a:stretch>
                      <a:fillRect/>
                    </a:stretch>
                  </pic:blipFill>
                  <pic:spPr>
                    <a:xfrm>
                      <a:off x="0" y="0"/>
                      <a:ext cx="1118870" cy="819150"/>
                    </a:xfrm>
                    <a:prstGeom prst="rect">
                      <a:avLst/>
                    </a:prstGeom>
                  </pic:spPr>
                </pic:pic>
              </a:graphicData>
            </a:graphic>
          </wp:anchor>
        </w:drawing>
      </w:r>
    </w:p>
    <w:p w:rsidR="00B54C7B" w:rsidRDefault="00B54C7B">
      <w:pPr>
        <w:spacing w:after="160" w:line="259" w:lineRule="auto"/>
      </w:pPr>
      <w:r>
        <w:br w:type="page"/>
      </w:r>
    </w:p>
    <w:p w:rsidR="001F5E8B" w:rsidRDefault="001F5E8B" w:rsidP="001F5E8B">
      <w:pPr>
        <w:spacing w:after="160" w:line="259" w:lineRule="auto"/>
      </w:pPr>
      <w:r w:rsidRPr="001F5E8B">
        <w:rPr>
          <w:color w:val="1A2A6A"/>
          <w:sz w:val="48"/>
          <w:szCs w:val="48"/>
        </w:rPr>
        <w:lastRenderedPageBreak/>
        <w:t>Jaarlijkse publicatie Top 5 plaatsen van uitvoering financiële instrumenten</w:t>
      </w:r>
    </w:p>
    <w:p w:rsidR="001F5E8B" w:rsidRDefault="001F5E8B" w:rsidP="008F37A0">
      <w:r>
        <w:t xml:space="preserve">Als gevolg van de EU Markets in Financial Instruments Directive 2014/65/EU (MiFID II) is vereist dat beleggingsondernemingen, die orders van cliënten uitvoeren, jaarlijks voor elke categorie financiële instrumenten een overzicht opstellen van de belangrijkste vijf plaatsen van uitvoering in termen van handelsvolumes waar zij tijdens het voorgaande jaar orders van cliënten hebben uitgevoerd en dat overzicht openbaar maken. Het overzicht dient tevens informatie te geven over de kwaliteit van de uitvoering. </w:t>
      </w:r>
    </w:p>
    <w:p w:rsidR="008F37A0" w:rsidRDefault="008F37A0" w:rsidP="008F37A0"/>
    <w:p w:rsidR="007E6611" w:rsidRDefault="001F5E8B" w:rsidP="008F37A0">
      <w:r>
        <w:t>De volgende informatie is gepubliceerd in overeenstemming met de technische standaarden zoals beschreven in de Commission Delegated Regulation EU/2017/576 (RTS 28) en is gebaseerd op  het aanbieden van beleggingsdiensten aan professionele klanten over kalenderjaar 201</w:t>
      </w:r>
      <w:r w:rsidR="004E3410">
        <w:t>8</w:t>
      </w:r>
      <w:r>
        <w:t>.</w:t>
      </w:r>
      <w:r w:rsidR="007E6611">
        <w:br w:type="page"/>
      </w:r>
    </w:p>
    <w:p w:rsidR="00B54C7B" w:rsidRDefault="00B54C7B" w:rsidP="00B54C7B">
      <w:pPr>
        <w:rPr>
          <w:color w:val="1A2A6A"/>
          <w:sz w:val="48"/>
          <w:szCs w:val="48"/>
        </w:rPr>
      </w:pPr>
      <w:r w:rsidRPr="00B54C7B">
        <w:rPr>
          <w:color w:val="1A2A6A"/>
          <w:sz w:val="48"/>
          <w:szCs w:val="48"/>
        </w:rPr>
        <w:lastRenderedPageBreak/>
        <w:t>Inhoudsopgave</w:t>
      </w:r>
    </w:p>
    <w:p w:rsidR="001843FA" w:rsidRPr="00B54C7B" w:rsidRDefault="001843FA" w:rsidP="00B54C7B">
      <w:pPr>
        <w:rPr>
          <w:color w:val="1A2A6A"/>
          <w:sz w:val="48"/>
          <w:szCs w:val="48"/>
        </w:rPr>
      </w:pPr>
    </w:p>
    <w:p w:rsidR="00FB3D62" w:rsidRDefault="00C97E35">
      <w:pPr>
        <w:pStyle w:val="TOC1"/>
        <w:tabs>
          <w:tab w:val="left" w:pos="440"/>
          <w:tab w:val="right" w:leader="dot" w:pos="9016"/>
        </w:tabs>
        <w:rPr>
          <w:rFonts w:asciiTheme="minorHAnsi" w:eastAsiaTheme="minorEastAsia" w:hAnsiTheme="minorHAnsi" w:cstheme="minorBidi"/>
          <w:noProof/>
          <w:sz w:val="22"/>
          <w:lang w:eastAsia="nl-NL"/>
        </w:rPr>
      </w:pPr>
      <w:r>
        <w:fldChar w:fldCharType="begin"/>
      </w:r>
      <w:r>
        <w:instrText xml:space="preserve"> TOC \o "1-2" \h \z \u </w:instrText>
      </w:r>
      <w:r>
        <w:fldChar w:fldCharType="separate"/>
      </w:r>
      <w:hyperlink w:anchor="_Toc512727057" w:history="1">
        <w:r w:rsidR="00FB3D62" w:rsidRPr="009063D6">
          <w:rPr>
            <w:rStyle w:val="Hyperlink"/>
            <w:noProof/>
          </w:rPr>
          <w:t>1</w:t>
        </w:r>
        <w:r w:rsidR="00FB3D62">
          <w:rPr>
            <w:rFonts w:asciiTheme="minorHAnsi" w:eastAsiaTheme="minorEastAsia" w:hAnsiTheme="minorHAnsi" w:cstheme="minorBidi"/>
            <w:noProof/>
            <w:sz w:val="22"/>
            <w:lang w:eastAsia="nl-NL"/>
          </w:rPr>
          <w:tab/>
        </w:r>
        <w:r w:rsidR="00FB3D62" w:rsidRPr="009063D6">
          <w:rPr>
            <w:rStyle w:val="Hyperlink"/>
            <w:noProof/>
          </w:rPr>
          <w:t>Selectiecriteria van tegenpartijen</w:t>
        </w:r>
        <w:r w:rsidR="00FB3D62">
          <w:rPr>
            <w:noProof/>
            <w:webHidden/>
          </w:rPr>
          <w:tab/>
        </w:r>
        <w:r w:rsidR="00FB3D62">
          <w:rPr>
            <w:noProof/>
            <w:webHidden/>
          </w:rPr>
          <w:fldChar w:fldCharType="begin"/>
        </w:r>
        <w:r w:rsidR="00FB3D62">
          <w:rPr>
            <w:noProof/>
            <w:webHidden/>
          </w:rPr>
          <w:instrText xml:space="preserve"> PAGEREF _Toc512727057 \h </w:instrText>
        </w:r>
        <w:r w:rsidR="00FB3D62">
          <w:rPr>
            <w:noProof/>
            <w:webHidden/>
          </w:rPr>
        </w:r>
        <w:r w:rsidR="00FB3D62">
          <w:rPr>
            <w:noProof/>
            <w:webHidden/>
          </w:rPr>
          <w:fldChar w:fldCharType="separate"/>
        </w:r>
        <w:r w:rsidR="00927B22">
          <w:rPr>
            <w:noProof/>
            <w:webHidden/>
          </w:rPr>
          <w:t>4</w:t>
        </w:r>
        <w:r w:rsidR="00FB3D62">
          <w:rPr>
            <w:noProof/>
            <w:webHidden/>
          </w:rPr>
          <w:fldChar w:fldCharType="end"/>
        </w:r>
      </w:hyperlink>
    </w:p>
    <w:p w:rsidR="00FB3D62" w:rsidRDefault="00441D41">
      <w:pPr>
        <w:pStyle w:val="TOC1"/>
        <w:tabs>
          <w:tab w:val="left" w:pos="440"/>
          <w:tab w:val="right" w:leader="dot" w:pos="9016"/>
        </w:tabs>
        <w:rPr>
          <w:rFonts w:asciiTheme="minorHAnsi" w:eastAsiaTheme="minorEastAsia" w:hAnsiTheme="minorHAnsi" w:cstheme="minorBidi"/>
          <w:noProof/>
          <w:sz w:val="22"/>
          <w:lang w:eastAsia="nl-NL"/>
        </w:rPr>
      </w:pPr>
      <w:hyperlink w:anchor="_Toc512727058" w:history="1">
        <w:r w:rsidR="00FB3D62" w:rsidRPr="009063D6">
          <w:rPr>
            <w:rStyle w:val="Hyperlink"/>
            <w:noProof/>
          </w:rPr>
          <w:t>2</w:t>
        </w:r>
        <w:r w:rsidR="00FB3D62">
          <w:rPr>
            <w:rFonts w:asciiTheme="minorHAnsi" w:eastAsiaTheme="minorEastAsia" w:hAnsiTheme="minorHAnsi" w:cstheme="minorBidi"/>
            <w:noProof/>
            <w:sz w:val="22"/>
            <w:lang w:eastAsia="nl-NL"/>
          </w:rPr>
          <w:tab/>
        </w:r>
        <w:r w:rsidR="00FB3D62" w:rsidRPr="009063D6">
          <w:rPr>
            <w:rStyle w:val="Hyperlink"/>
            <w:noProof/>
          </w:rPr>
          <w:t>Order-uitvoering Treasury</w:t>
        </w:r>
        <w:r w:rsidR="00FB3D62">
          <w:rPr>
            <w:noProof/>
            <w:webHidden/>
          </w:rPr>
          <w:tab/>
        </w:r>
        <w:r w:rsidR="00FB3D62">
          <w:rPr>
            <w:noProof/>
            <w:webHidden/>
          </w:rPr>
          <w:fldChar w:fldCharType="begin"/>
        </w:r>
        <w:r w:rsidR="00FB3D62">
          <w:rPr>
            <w:noProof/>
            <w:webHidden/>
          </w:rPr>
          <w:instrText xml:space="preserve"> PAGEREF _Toc512727058 \h </w:instrText>
        </w:r>
        <w:r w:rsidR="00FB3D62">
          <w:rPr>
            <w:noProof/>
            <w:webHidden/>
          </w:rPr>
        </w:r>
        <w:r w:rsidR="00FB3D62">
          <w:rPr>
            <w:noProof/>
            <w:webHidden/>
          </w:rPr>
          <w:fldChar w:fldCharType="separate"/>
        </w:r>
        <w:r w:rsidR="00927B22">
          <w:rPr>
            <w:noProof/>
            <w:webHidden/>
          </w:rPr>
          <w:t>5</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59" w:history="1">
        <w:r w:rsidR="00FB3D62" w:rsidRPr="009063D6">
          <w:rPr>
            <w:rStyle w:val="Hyperlink"/>
            <w:noProof/>
          </w:rPr>
          <w:t>2.1</w:t>
        </w:r>
        <w:r w:rsidR="00FB3D62">
          <w:rPr>
            <w:rFonts w:asciiTheme="minorHAnsi" w:eastAsiaTheme="minorEastAsia" w:hAnsiTheme="minorHAnsi" w:cstheme="minorBidi"/>
            <w:noProof/>
            <w:sz w:val="22"/>
            <w:lang w:eastAsia="nl-NL"/>
          </w:rPr>
          <w:tab/>
        </w:r>
        <w:r w:rsidR="00FB3D62" w:rsidRPr="009063D6">
          <w:rPr>
            <w:rStyle w:val="Hyperlink"/>
            <w:noProof/>
          </w:rPr>
          <w:t>Instrumenten</w:t>
        </w:r>
        <w:r w:rsidR="00FB3D62">
          <w:rPr>
            <w:noProof/>
            <w:webHidden/>
          </w:rPr>
          <w:tab/>
        </w:r>
        <w:r w:rsidR="00FB3D62">
          <w:rPr>
            <w:noProof/>
            <w:webHidden/>
          </w:rPr>
          <w:fldChar w:fldCharType="begin"/>
        </w:r>
        <w:r w:rsidR="00FB3D62">
          <w:rPr>
            <w:noProof/>
            <w:webHidden/>
          </w:rPr>
          <w:instrText xml:space="preserve"> PAGEREF _Toc512727059 \h </w:instrText>
        </w:r>
        <w:r w:rsidR="00FB3D62">
          <w:rPr>
            <w:noProof/>
            <w:webHidden/>
          </w:rPr>
        </w:r>
        <w:r w:rsidR="00FB3D62">
          <w:rPr>
            <w:noProof/>
            <w:webHidden/>
          </w:rPr>
          <w:fldChar w:fldCharType="separate"/>
        </w:r>
        <w:r w:rsidR="00927B22">
          <w:rPr>
            <w:noProof/>
            <w:webHidden/>
          </w:rPr>
          <w:t>5</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60" w:history="1">
        <w:r w:rsidR="00FB3D62" w:rsidRPr="009063D6">
          <w:rPr>
            <w:rStyle w:val="Hyperlink"/>
            <w:noProof/>
          </w:rPr>
          <w:t>2.2</w:t>
        </w:r>
        <w:r w:rsidR="00FB3D62">
          <w:rPr>
            <w:rFonts w:asciiTheme="minorHAnsi" w:eastAsiaTheme="minorEastAsia" w:hAnsiTheme="minorHAnsi" w:cstheme="minorBidi"/>
            <w:noProof/>
            <w:sz w:val="22"/>
            <w:lang w:eastAsia="nl-NL"/>
          </w:rPr>
          <w:tab/>
        </w:r>
        <w:r w:rsidR="00FB3D62" w:rsidRPr="009063D6">
          <w:rPr>
            <w:rStyle w:val="Hyperlink"/>
            <w:noProof/>
          </w:rPr>
          <w:t>Criteria deposito’s &amp; repo’s</w:t>
        </w:r>
        <w:r w:rsidR="00FB3D62">
          <w:rPr>
            <w:noProof/>
            <w:webHidden/>
          </w:rPr>
          <w:tab/>
        </w:r>
        <w:r w:rsidR="00FB3D62">
          <w:rPr>
            <w:noProof/>
            <w:webHidden/>
          </w:rPr>
          <w:fldChar w:fldCharType="begin"/>
        </w:r>
        <w:r w:rsidR="00FB3D62">
          <w:rPr>
            <w:noProof/>
            <w:webHidden/>
          </w:rPr>
          <w:instrText xml:space="preserve"> PAGEREF _Toc512727060 \h </w:instrText>
        </w:r>
        <w:r w:rsidR="00FB3D62">
          <w:rPr>
            <w:noProof/>
            <w:webHidden/>
          </w:rPr>
        </w:r>
        <w:r w:rsidR="00FB3D62">
          <w:rPr>
            <w:noProof/>
            <w:webHidden/>
          </w:rPr>
          <w:fldChar w:fldCharType="separate"/>
        </w:r>
        <w:r w:rsidR="00927B22">
          <w:rPr>
            <w:noProof/>
            <w:webHidden/>
          </w:rPr>
          <w:t>5</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61" w:history="1">
        <w:r w:rsidR="00FB3D62" w:rsidRPr="009063D6">
          <w:rPr>
            <w:rStyle w:val="Hyperlink"/>
            <w:noProof/>
          </w:rPr>
          <w:t>2.3</w:t>
        </w:r>
        <w:r w:rsidR="00FB3D62">
          <w:rPr>
            <w:rFonts w:asciiTheme="minorHAnsi" w:eastAsiaTheme="minorEastAsia" w:hAnsiTheme="minorHAnsi" w:cstheme="minorBidi"/>
            <w:noProof/>
            <w:sz w:val="22"/>
            <w:lang w:eastAsia="nl-NL"/>
          </w:rPr>
          <w:tab/>
        </w:r>
        <w:r w:rsidR="00FB3D62" w:rsidRPr="009063D6">
          <w:rPr>
            <w:rStyle w:val="Hyperlink"/>
            <w:noProof/>
          </w:rPr>
          <w:t>Criteria staatsobligaties</w:t>
        </w:r>
        <w:r w:rsidR="00FB3D62">
          <w:rPr>
            <w:noProof/>
            <w:webHidden/>
          </w:rPr>
          <w:tab/>
        </w:r>
        <w:r w:rsidR="00FB3D62">
          <w:rPr>
            <w:noProof/>
            <w:webHidden/>
          </w:rPr>
          <w:fldChar w:fldCharType="begin"/>
        </w:r>
        <w:r w:rsidR="00FB3D62">
          <w:rPr>
            <w:noProof/>
            <w:webHidden/>
          </w:rPr>
          <w:instrText xml:space="preserve"> PAGEREF _Toc512727061 \h </w:instrText>
        </w:r>
        <w:r w:rsidR="00FB3D62">
          <w:rPr>
            <w:noProof/>
            <w:webHidden/>
          </w:rPr>
        </w:r>
        <w:r w:rsidR="00FB3D62">
          <w:rPr>
            <w:noProof/>
            <w:webHidden/>
          </w:rPr>
          <w:fldChar w:fldCharType="separate"/>
        </w:r>
        <w:r w:rsidR="00927B22">
          <w:rPr>
            <w:noProof/>
            <w:webHidden/>
          </w:rPr>
          <w:t>5</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62" w:history="1">
        <w:r w:rsidR="00FB3D62" w:rsidRPr="009063D6">
          <w:rPr>
            <w:rStyle w:val="Hyperlink"/>
            <w:noProof/>
          </w:rPr>
          <w:t>2.4</w:t>
        </w:r>
        <w:r w:rsidR="00FB3D62">
          <w:rPr>
            <w:rFonts w:asciiTheme="minorHAnsi" w:eastAsiaTheme="minorEastAsia" w:hAnsiTheme="minorHAnsi" w:cstheme="minorBidi"/>
            <w:noProof/>
            <w:sz w:val="22"/>
            <w:lang w:eastAsia="nl-NL"/>
          </w:rPr>
          <w:tab/>
        </w:r>
        <w:r w:rsidR="00FB3D62" w:rsidRPr="009063D6">
          <w:rPr>
            <w:rStyle w:val="Hyperlink"/>
            <w:noProof/>
          </w:rPr>
          <w:t>Criteria FX Swaps</w:t>
        </w:r>
        <w:r w:rsidR="00FB3D62">
          <w:rPr>
            <w:noProof/>
            <w:webHidden/>
          </w:rPr>
          <w:tab/>
        </w:r>
        <w:r w:rsidR="00FB3D62">
          <w:rPr>
            <w:noProof/>
            <w:webHidden/>
          </w:rPr>
          <w:fldChar w:fldCharType="begin"/>
        </w:r>
        <w:r w:rsidR="00FB3D62">
          <w:rPr>
            <w:noProof/>
            <w:webHidden/>
          </w:rPr>
          <w:instrText xml:space="preserve"> PAGEREF _Toc512727062 \h </w:instrText>
        </w:r>
        <w:r w:rsidR="00FB3D62">
          <w:rPr>
            <w:noProof/>
            <w:webHidden/>
          </w:rPr>
        </w:r>
        <w:r w:rsidR="00FB3D62">
          <w:rPr>
            <w:noProof/>
            <w:webHidden/>
          </w:rPr>
          <w:fldChar w:fldCharType="separate"/>
        </w:r>
        <w:r w:rsidR="00927B22">
          <w:rPr>
            <w:noProof/>
            <w:webHidden/>
          </w:rPr>
          <w:t>6</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63" w:history="1">
        <w:r w:rsidR="00FB3D62" w:rsidRPr="009063D6">
          <w:rPr>
            <w:rStyle w:val="Hyperlink"/>
            <w:noProof/>
          </w:rPr>
          <w:t>2.5</w:t>
        </w:r>
        <w:r w:rsidR="00FB3D62">
          <w:rPr>
            <w:rFonts w:asciiTheme="minorHAnsi" w:eastAsiaTheme="minorEastAsia" w:hAnsiTheme="minorHAnsi" w:cstheme="minorBidi"/>
            <w:noProof/>
            <w:sz w:val="22"/>
            <w:lang w:eastAsia="nl-NL"/>
          </w:rPr>
          <w:tab/>
        </w:r>
        <w:r w:rsidR="00FB3D62" w:rsidRPr="009063D6">
          <w:rPr>
            <w:rStyle w:val="Hyperlink"/>
            <w:noProof/>
          </w:rPr>
          <w:t>Criteria FX Forwards</w:t>
        </w:r>
        <w:r w:rsidR="00FB3D62">
          <w:rPr>
            <w:noProof/>
            <w:webHidden/>
          </w:rPr>
          <w:tab/>
        </w:r>
        <w:r w:rsidR="00FB3D62">
          <w:rPr>
            <w:noProof/>
            <w:webHidden/>
          </w:rPr>
          <w:fldChar w:fldCharType="begin"/>
        </w:r>
        <w:r w:rsidR="00FB3D62">
          <w:rPr>
            <w:noProof/>
            <w:webHidden/>
          </w:rPr>
          <w:instrText xml:space="preserve"> PAGEREF _Toc512727063 \h </w:instrText>
        </w:r>
        <w:r w:rsidR="00FB3D62">
          <w:rPr>
            <w:noProof/>
            <w:webHidden/>
          </w:rPr>
        </w:r>
        <w:r w:rsidR="00FB3D62">
          <w:rPr>
            <w:noProof/>
            <w:webHidden/>
          </w:rPr>
          <w:fldChar w:fldCharType="separate"/>
        </w:r>
        <w:r w:rsidR="00927B22">
          <w:rPr>
            <w:noProof/>
            <w:webHidden/>
          </w:rPr>
          <w:t>6</w:t>
        </w:r>
        <w:r w:rsidR="00FB3D62">
          <w:rPr>
            <w:noProof/>
            <w:webHidden/>
          </w:rPr>
          <w:fldChar w:fldCharType="end"/>
        </w:r>
      </w:hyperlink>
    </w:p>
    <w:p w:rsidR="00FB3D62" w:rsidRDefault="00441D41">
      <w:pPr>
        <w:pStyle w:val="TOC1"/>
        <w:tabs>
          <w:tab w:val="left" w:pos="440"/>
          <w:tab w:val="right" w:leader="dot" w:pos="9016"/>
        </w:tabs>
        <w:rPr>
          <w:rFonts w:asciiTheme="minorHAnsi" w:eastAsiaTheme="minorEastAsia" w:hAnsiTheme="minorHAnsi" w:cstheme="minorBidi"/>
          <w:noProof/>
          <w:sz w:val="22"/>
          <w:lang w:eastAsia="nl-NL"/>
        </w:rPr>
      </w:pPr>
      <w:hyperlink w:anchor="_Toc512727064" w:history="1">
        <w:r w:rsidR="00FB3D62" w:rsidRPr="009063D6">
          <w:rPr>
            <w:rStyle w:val="Hyperlink"/>
            <w:noProof/>
          </w:rPr>
          <w:t>3</w:t>
        </w:r>
        <w:r w:rsidR="00FB3D62">
          <w:rPr>
            <w:rFonts w:asciiTheme="minorHAnsi" w:eastAsiaTheme="minorEastAsia" w:hAnsiTheme="minorHAnsi" w:cstheme="minorBidi"/>
            <w:noProof/>
            <w:sz w:val="22"/>
            <w:lang w:eastAsia="nl-NL"/>
          </w:rPr>
          <w:tab/>
        </w:r>
        <w:r w:rsidR="00FB3D62" w:rsidRPr="009063D6">
          <w:rPr>
            <w:rStyle w:val="Hyperlink"/>
            <w:noProof/>
          </w:rPr>
          <w:t>Rapportage</w:t>
        </w:r>
        <w:r w:rsidR="00FB3D62">
          <w:rPr>
            <w:noProof/>
            <w:webHidden/>
          </w:rPr>
          <w:tab/>
        </w:r>
        <w:r w:rsidR="00FB3D62">
          <w:rPr>
            <w:noProof/>
            <w:webHidden/>
          </w:rPr>
          <w:fldChar w:fldCharType="begin"/>
        </w:r>
        <w:r w:rsidR="00FB3D62">
          <w:rPr>
            <w:noProof/>
            <w:webHidden/>
          </w:rPr>
          <w:instrText xml:space="preserve"> PAGEREF _Toc512727064 \h </w:instrText>
        </w:r>
        <w:r w:rsidR="00FB3D62">
          <w:rPr>
            <w:noProof/>
            <w:webHidden/>
          </w:rPr>
        </w:r>
        <w:r w:rsidR="00FB3D62">
          <w:rPr>
            <w:noProof/>
            <w:webHidden/>
          </w:rPr>
          <w:fldChar w:fldCharType="separate"/>
        </w:r>
        <w:r w:rsidR="00927B22">
          <w:rPr>
            <w:noProof/>
            <w:webHidden/>
          </w:rPr>
          <w:t>7</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65" w:history="1">
        <w:r w:rsidR="00FB3D62" w:rsidRPr="009063D6">
          <w:rPr>
            <w:rStyle w:val="Hyperlink"/>
            <w:noProof/>
          </w:rPr>
          <w:t>3.1</w:t>
        </w:r>
        <w:r w:rsidR="00FB3D62">
          <w:rPr>
            <w:rFonts w:asciiTheme="minorHAnsi" w:eastAsiaTheme="minorEastAsia" w:hAnsiTheme="minorHAnsi" w:cstheme="minorBidi"/>
            <w:noProof/>
            <w:sz w:val="22"/>
            <w:lang w:eastAsia="nl-NL"/>
          </w:rPr>
          <w:tab/>
        </w:r>
        <w:r w:rsidR="00FB3D62" w:rsidRPr="009063D6">
          <w:rPr>
            <w:rStyle w:val="Hyperlink"/>
            <w:noProof/>
          </w:rPr>
          <w:t>Rapportages</w:t>
        </w:r>
        <w:r w:rsidR="00FB3D62">
          <w:rPr>
            <w:noProof/>
            <w:webHidden/>
          </w:rPr>
          <w:tab/>
        </w:r>
        <w:r w:rsidR="00FB3D62">
          <w:rPr>
            <w:noProof/>
            <w:webHidden/>
          </w:rPr>
          <w:fldChar w:fldCharType="begin"/>
        </w:r>
        <w:r w:rsidR="00FB3D62">
          <w:rPr>
            <w:noProof/>
            <w:webHidden/>
          </w:rPr>
          <w:instrText xml:space="preserve"> PAGEREF _Toc512727065 \h </w:instrText>
        </w:r>
        <w:r w:rsidR="00FB3D62">
          <w:rPr>
            <w:noProof/>
            <w:webHidden/>
          </w:rPr>
        </w:r>
        <w:r w:rsidR="00FB3D62">
          <w:rPr>
            <w:noProof/>
            <w:webHidden/>
          </w:rPr>
          <w:fldChar w:fldCharType="separate"/>
        </w:r>
        <w:r w:rsidR="00927B22">
          <w:rPr>
            <w:noProof/>
            <w:webHidden/>
          </w:rPr>
          <w:t>7</w:t>
        </w:r>
        <w:r w:rsidR="00FB3D62">
          <w:rPr>
            <w:noProof/>
            <w:webHidden/>
          </w:rPr>
          <w:fldChar w:fldCharType="end"/>
        </w:r>
      </w:hyperlink>
    </w:p>
    <w:p w:rsidR="00FB3D62" w:rsidRDefault="00441D41">
      <w:pPr>
        <w:pStyle w:val="TOC2"/>
        <w:tabs>
          <w:tab w:val="left" w:pos="880"/>
          <w:tab w:val="right" w:leader="dot" w:pos="9016"/>
        </w:tabs>
        <w:rPr>
          <w:rFonts w:asciiTheme="minorHAnsi" w:eastAsiaTheme="minorEastAsia" w:hAnsiTheme="minorHAnsi" w:cstheme="minorBidi"/>
          <w:noProof/>
          <w:sz w:val="22"/>
          <w:lang w:eastAsia="nl-NL"/>
        </w:rPr>
      </w:pPr>
      <w:hyperlink w:anchor="_Toc512727066" w:history="1">
        <w:r w:rsidR="00FB3D62" w:rsidRPr="009063D6">
          <w:rPr>
            <w:rStyle w:val="Hyperlink"/>
            <w:noProof/>
          </w:rPr>
          <w:t>3.2</w:t>
        </w:r>
        <w:r w:rsidR="00FB3D62">
          <w:rPr>
            <w:rFonts w:asciiTheme="minorHAnsi" w:eastAsiaTheme="minorEastAsia" w:hAnsiTheme="minorHAnsi" w:cstheme="minorBidi"/>
            <w:noProof/>
            <w:sz w:val="22"/>
            <w:lang w:eastAsia="nl-NL"/>
          </w:rPr>
          <w:tab/>
        </w:r>
        <w:r w:rsidR="00FB3D62" w:rsidRPr="009063D6">
          <w:rPr>
            <w:rStyle w:val="Hyperlink"/>
            <w:noProof/>
          </w:rPr>
          <w:t>Overig</w:t>
        </w:r>
        <w:r w:rsidR="00FB3D62">
          <w:rPr>
            <w:noProof/>
            <w:webHidden/>
          </w:rPr>
          <w:tab/>
        </w:r>
        <w:r w:rsidR="00FB3D62">
          <w:rPr>
            <w:noProof/>
            <w:webHidden/>
          </w:rPr>
          <w:fldChar w:fldCharType="begin"/>
        </w:r>
        <w:r w:rsidR="00FB3D62">
          <w:rPr>
            <w:noProof/>
            <w:webHidden/>
          </w:rPr>
          <w:instrText xml:space="preserve"> PAGEREF _Toc512727066 \h </w:instrText>
        </w:r>
        <w:r w:rsidR="00FB3D62">
          <w:rPr>
            <w:noProof/>
            <w:webHidden/>
          </w:rPr>
        </w:r>
        <w:r w:rsidR="00FB3D62">
          <w:rPr>
            <w:noProof/>
            <w:webHidden/>
          </w:rPr>
          <w:fldChar w:fldCharType="separate"/>
        </w:r>
        <w:r w:rsidR="00927B22">
          <w:rPr>
            <w:noProof/>
            <w:webHidden/>
          </w:rPr>
          <w:t>7</w:t>
        </w:r>
        <w:r w:rsidR="00FB3D62">
          <w:rPr>
            <w:noProof/>
            <w:webHidden/>
          </w:rPr>
          <w:fldChar w:fldCharType="end"/>
        </w:r>
      </w:hyperlink>
    </w:p>
    <w:p w:rsidR="00B54C7B" w:rsidRDefault="00C97E35" w:rsidP="00B54C7B">
      <w:r>
        <w:fldChar w:fldCharType="end"/>
      </w:r>
    </w:p>
    <w:p w:rsidR="00B54C7B" w:rsidRDefault="00B54C7B">
      <w:pPr>
        <w:spacing w:after="160" w:line="259" w:lineRule="auto"/>
      </w:pPr>
      <w:r>
        <w:br w:type="page"/>
      </w:r>
    </w:p>
    <w:p w:rsidR="00B54C7B" w:rsidRDefault="00B54C7B" w:rsidP="00B54C7B">
      <w:pPr>
        <w:pStyle w:val="Heading1"/>
      </w:pPr>
      <w:bookmarkStart w:id="1" w:name="_Toc512727057"/>
      <w:r w:rsidRPr="00B54C7B">
        <w:lastRenderedPageBreak/>
        <w:t>Selectiecriteria van tegenpartijen</w:t>
      </w:r>
      <w:bookmarkEnd w:id="1"/>
    </w:p>
    <w:p w:rsidR="00B54C7B" w:rsidRDefault="00B54C7B" w:rsidP="00B54C7B">
      <w:r>
        <w:t>Vermogensbeheer handelt uitsluitend voor rekening van opdrachtgevers met tegenpartijen die zijn opgenomen op de geautoriseerde MN Brokerlijst. Het selecteren van tegenpartijen voor de MN Brokerlijst is onderhevig aan de aanstellingseisen zoals opgenomen in het MN Brokerbeleid. Het selectie proces voor de MN Brokerlijst is opgenomen onder het proces ‘Selecteren en beheren brokers’.</w:t>
      </w:r>
    </w:p>
    <w:p w:rsidR="00B54C7B" w:rsidRDefault="00B54C7B" w:rsidP="00B54C7B"/>
    <w:p w:rsidR="00B54C7B" w:rsidRDefault="00920DD2" w:rsidP="00B54C7B">
      <w:r w:rsidRPr="00920DD2">
        <w:t>Het best mogelijke resultaat (best execution) kan op verschillende manieren beoordeeld worden. Vermogensbeheer vindt voor de orderuitvoering onder andere de onderstaande criteria van belang. Het is niet eenvoudig om voor alle transacties een uniforme methode te gebruiken in de beoordeling. Per instrument kunnen deze criteria verschillen. Onderstaand wordt uitleg gegeven van de criteria die worden gebruikt (niet uitputtend en in willekeurige volgorde).</w:t>
      </w:r>
      <w:r w:rsidR="00B54C7B">
        <w:t xml:space="preserve"> </w:t>
      </w:r>
    </w:p>
    <w:p w:rsidR="00B54C7B" w:rsidRDefault="00B54C7B" w:rsidP="00EA345A">
      <w:pPr>
        <w:pStyle w:val="ListParagraph"/>
        <w:numPr>
          <w:ilvl w:val="0"/>
          <w:numId w:val="15"/>
        </w:numPr>
      </w:pPr>
      <w:r>
        <w:t>De kwaliteit en effectiviteit van het uitvoeringsbeleid van de tegenpartij, waar relevant, om het beste resultaat voor een opdrachtgever te behalen.</w:t>
      </w:r>
    </w:p>
    <w:p w:rsidR="00B54C7B" w:rsidRDefault="00B54C7B" w:rsidP="00EA345A">
      <w:pPr>
        <w:pStyle w:val="ListParagraph"/>
        <w:numPr>
          <w:ilvl w:val="0"/>
          <w:numId w:val="15"/>
        </w:numPr>
      </w:pPr>
      <w:r>
        <w:t>Het vermogen van de tegenpartij om liquiditeit in de markt te zoeken en te nemen, de marktimpact te minimaliseren en het vermogen ongebruikelijke orders te verwerken.</w:t>
      </w:r>
    </w:p>
    <w:p w:rsidR="00B54C7B" w:rsidRDefault="00B54C7B" w:rsidP="00EA345A">
      <w:pPr>
        <w:pStyle w:val="ListParagraph"/>
        <w:numPr>
          <w:ilvl w:val="0"/>
          <w:numId w:val="15"/>
        </w:numPr>
      </w:pPr>
      <w:r>
        <w:t xml:space="preserve">Het vermogen van de tegenpartij om de beste prijs te realiseren en de mogelijkheid voor verbeteringen in de prijs te maximaliseren. Het vermogen van de tegenpartij om orders (tijdig) te vullen en het aantal incomplete orders te minimaliseren. </w:t>
      </w:r>
    </w:p>
    <w:p w:rsidR="00B54C7B" w:rsidRDefault="00B54C7B" w:rsidP="00EA345A">
      <w:pPr>
        <w:pStyle w:val="ListParagraph"/>
        <w:numPr>
          <w:ilvl w:val="0"/>
          <w:numId w:val="15"/>
        </w:numPr>
      </w:pPr>
      <w:r>
        <w:t>De mate waarin een tegenpartij zich op een ijverige en consistente manier inzet om aan de handelsbehoefte te voldoen.</w:t>
      </w:r>
    </w:p>
    <w:p w:rsidR="00B54C7B" w:rsidRDefault="00B54C7B" w:rsidP="00EA345A">
      <w:pPr>
        <w:pStyle w:val="ListParagraph"/>
        <w:numPr>
          <w:ilvl w:val="0"/>
          <w:numId w:val="15"/>
        </w:numPr>
      </w:pPr>
      <w:r>
        <w:t>De efficiëntie en nauwkeurigheid van het clearing- en settlement-proces van de tegenpartij.</w:t>
      </w:r>
    </w:p>
    <w:p w:rsidR="00B54C7B" w:rsidRDefault="00B54C7B" w:rsidP="00EA345A">
      <w:pPr>
        <w:pStyle w:val="ListParagraph"/>
        <w:numPr>
          <w:ilvl w:val="0"/>
          <w:numId w:val="15"/>
        </w:numPr>
      </w:pPr>
      <w:r>
        <w:t>Het vermogen van de tegenpartij om voldoende kapitaal aan te houden en in te zetten wanneer dit vereist is om een order te vullen.</w:t>
      </w:r>
    </w:p>
    <w:p w:rsidR="00B54C7B" w:rsidRDefault="00B54C7B" w:rsidP="00EA345A">
      <w:pPr>
        <w:pStyle w:val="ListParagraph"/>
        <w:numPr>
          <w:ilvl w:val="0"/>
          <w:numId w:val="15"/>
        </w:numPr>
      </w:pPr>
      <w:r>
        <w:t>De afhandeling van een tegenpartij omtrent opmerkingen of klachten over foutieve transacties en deze naar tevredenheid hersteld.</w:t>
      </w:r>
    </w:p>
    <w:p w:rsidR="00B54C7B" w:rsidRDefault="00B54C7B" w:rsidP="00EA345A">
      <w:pPr>
        <w:pStyle w:val="ListParagraph"/>
        <w:numPr>
          <w:ilvl w:val="0"/>
          <w:numId w:val="15"/>
        </w:numPr>
      </w:pPr>
      <w:r>
        <w:t>Het vermogen van de tegenpartij om te anticiperen, zich aan te passen en toegang te hebben tot alternatieve handelsopties om een hogere uitvoeringskwaliteit te behalen.</w:t>
      </w:r>
    </w:p>
    <w:p w:rsidR="00B54C7B" w:rsidRDefault="00B54C7B" w:rsidP="00EA345A">
      <w:pPr>
        <w:pStyle w:val="ListParagraph"/>
        <w:numPr>
          <w:ilvl w:val="0"/>
          <w:numId w:val="15"/>
        </w:numPr>
      </w:pPr>
      <w:r>
        <w:t xml:space="preserve">De beschikbare ruimte die een betreffende tegenpartij (nog) ter beschikking kan stellen binnen de gestelde limieten van opdrachtgevers. </w:t>
      </w:r>
    </w:p>
    <w:p w:rsidR="00B54C7B" w:rsidRDefault="00B54C7B" w:rsidP="00B54C7B">
      <w:pPr>
        <w:rPr>
          <w:lang w:eastAsia="nl-NL"/>
        </w:rPr>
      </w:pPr>
    </w:p>
    <w:p w:rsidR="00B54C7B" w:rsidRDefault="00B54C7B" w:rsidP="00B54C7B">
      <w:r>
        <w:t>Het belang van de genoemde criteria kan per beleggingsinstrument (aandeel, obligatie, optie, vastgoed, fonds, valuta e.d.) verschillen. Voor de bepaling van het relatieve belang van de relevante uitvoeringsfactoren zijn de kenmerken van de opdrachtgever, het beleggingsinstrument en de k</w:t>
      </w:r>
      <w:r w:rsidR="00EA345A">
        <w:t xml:space="preserve">enmerken van de order leidend. </w:t>
      </w:r>
    </w:p>
    <w:p w:rsidR="00B54C7B" w:rsidRDefault="00B54C7B" w:rsidP="00B54C7B"/>
    <w:p w:rsidR="00B54C7B" w:rsidRDefault="00B54C7B" w:rsidP="00B54C7B">
      <w:pPr>
        <w:spacing w:after="160" w:line="259" w:lineRule="auto"/>
      </w:pPr>
    </w:p>
    <w:p w:rsidR="00B54C7B" w:rsidRDefault="00B54C7B">
      <w:pPr>
        <w:spacing w:after="160" w:line="259" w:lineRule="auto"/>
      </w:pPr>
      <w:r>
        <w:br w:type="page"/>
      </w:r>
    </w:p>
    <w:p w:rsidR="00B54C7B" w:rsidRPr="00A76C84" w:rsidRDefault="00B54C7B" w:rsidP="00570382">
      <w:pPr>
        <w:pStyle w:val="Heading1"/>
      </w:pPr>
      <w:bookmarkStart w:id="2" w:name="_Toc512727058"/>
      <w:r w:rsidRPr="00A76C84">
        <w:lastRenderedPageBreak/>
        <w:t>Order-</w:t>
      </w:r>
      <w:r w:rsidRPr="00570382">
        <w:t>uitvoering</w:t>
      </w:r>
      <w:r w:rsidRPr="00A76C84">
        <w:t xml:space="preserve"> </w:t>
      </w:r>
      <w:r w:rsidR="00570382">
        <w:t>Treasury</w:t>
      </w:r>
      <w:bookmarkEnd w:id="2"/>
    </w:p>
    <w:p w:rsidR="00B54C7B" w:rsidRDefault="00B54C7B" w:rsidP="00B54C7B">
      <w:pPr>
        <w:pStyle w:val="Heading2"/>
      </w:pPr>
      <w:bookmarkStart w:id="3" w:name="_Toc512727059"/>
      <w:r>
        <w:t>Instrumenten</w:t>
      </w:r>
      <w:bookmarkEnd w:id="3"/>
    </w:p>
    <w:p w:rsidR="00570382" w:rsidRPr="005212A7" w:rsidRDefault="00570382" w:rsidP="00570382">
      <w:pPr>
        <w:pStyle w:val="ListParagraph"/>
        <w:rPr>
          <w:rFonts w:eastAsia="Calibri"/>
          <w:szCs w:val="21"/>
        </w:rPr>
      </w:pPr>
      <w:r w:rsidRPr="005212A7">
        <w:rPr>
          <w:rFonts w:eastAsia="Calibri"/>
          <w:szCs w:val="21"/>
        </w:rPr>
        <w:t>Binnen de assetclasses van Treasury wordt er in de volgende instrumenten gehandeld:</w:t>
      </w:r>
    </w:p>
    <w:p w:rsidR="00570382" w:rsidRPr="005212A7" w:rsidRDefault="00570382" w:rsidP="00570382">
      <w:pPr>
        <w:pStyle w:val="ListParagraph"/>
        <w:rPr>
          <w:rFonts w:eastAsia="Calibri"/>
          <w:szCs w:val="21"/>
        </w:rPr>
      </w:pPr>
      <w:r w:rsidRPr="005212A7">
        <w:rPr>
          <w:rFonts w:eastAsia="Calibri"/>
          <w:szCs w:val="21"/>
        </w:rPr>
        <w:t>-</w:t>
      </w:r>
      <w:r w:rsidRPr="005212A7">
        <w:rPr>
          <w:rFonts w:eastAsia="Calibri"/>
          <w:szCs w:val="21"/>
        </w:rPr>
        <w:tab/>
        <w:t>Deposito’s en repo’s</w:t>
      </w:r>
    </w:p>
    <w:p w:rsidR="00570382" w:rsidRPr="005212A7" w:rsidRDefault="00570382" w:rsidP="00570382">
      <w:pPr>
        <w:pStyle w:val="ListParagraph"/>
        <w:rPr>
          <w:rFonts w:eastAsia="Calibri"/>
          <w:szCs w:val="21"/>
        </w:rPr>
      </w:pPr>
      <w:r w:rsidRPr="005212A7">
        <w:rPr>
          <w:rFonts w:eastAsia="Calibri"/>
          <w:szCs w:val="21"/>
        </w:rPr>
        <w:t>-</w:t>
      </w:r>
      <w:r w:rsidRPr="005212A7">
        <w:rPr>
          <w:rFonts w:eastAsia="Calibri"/>
          <w:szCs w:val="21"/>
        </w:rPr>
        <w:tab/>
        <w:t>Staatsobligaties</w:t>
      </w:r>
    </w:p>
    <w:p w:rsidR="00570382" w:rsidRPr="005212A7" w:rsidRDefault="00570382" w:rsidP="00570382">
      <w:pPr>
        <w:pStyle w:val="ListParagraph"/>
        <w:rPr>
          <w:rFonts w:eastAsia="Calibri"/>
          <w:szCs w:val="21"/>
        </w:rPr>
      </w:pPr>
      <w:r w:rsidRPr="005212A7">
        <w:rPr>
          <w:rFonts w:eastAsia="Calibri"/>
          <w:szCs w:val="21"/>
        </w:rPr>
        <w:t>-</w:t>
      </w:r>
      <w:r w:rsidRPr="005212A7">
        <w:rPr>
          <w:rFonts w:eastAsia="Calibri"/>
          <w:szCs w:val="21"/>
        </w:rPr>
        <w:tab/>
        <w:t>Geldmarktfondsen</w:t>
      </w:r>
    </w:p>
    <w:p w:rsidR="00570382" w:rsidRPr="005212A7" w:rsidRDefault="00570382" w:rsidP="00570382">
      <w:pPr>
        <w:pStyle w:val="ListParagraph"/>
        <w:rPr>
          <w:rFonts w:eastAsia="Calibri"/>
          <w:szCs w:val="21"/>
        </w:rPr>
      </w:pPr>
      <w:r w:rsidRPr="005212A7">
        <w:rPr>
          <w:rFonts w:eastAsia="Calibri"/>
          <w:szCs w:val="21"/>
        </w:rPr>
        <w:t>-</w:t>
      </w:r>
      <w:r w:rsidRPr="005212A7">
        <w:rPr>
          <w:rFonts w:eastAsia="Calibri"/>
          <w:szCs w:val="21"/>
        </w:rPr>
        <w:tab/>
        <w:t>FX Spots</w:t>
      </w:r>
    </w:p>
    <w:p w:rsidR="00570382" w:rsidRPr="005212A7" w:rsidRDefault="00570382" w:rsidP="00570382">
      <w:pPr>
        <w:pStyle w:val="ListParagraph"/>
        <w:rPr>
          <w:rFonts w:eastAsia="Calibri"/>
          <w:szCs w:val="21"/>
        </w:rPr>
      </w:pPr>
      <w:r w:rsidRPr="005212A7">
        <w:rPr>
          <w:rFonts w:eastAsia="Calibri"/>
          <w:szCs w:val="21"/>
        </w:rPr>
        <w:t>-</w:t>
      </w:r>
      <w:r w:rsidRPr="005212A7">
        <w:rPr>
          <w:rFonts w:eastAsia="Calibri"/>
          <w:szCs w:val="21"/>
        </w:rPr>
        <w:tab/>
        <w:t>FX Swaps</w:t>
      </w:r>
    </w:p>
    <w:p w:rsidR="008B67E0" w:rsidRPr="005212A7" w:rsidRDefault="00570382" w:rsidP="00570382">
      <w:pPr>
        <w:pStyle w:val="ListParagraph"/>
        <w:rPr>
          <w:rFonts w:eastAsia="Calibri"/>
          <w:szCs w:val="21"/>
        </w:rPr>
      </w:pPr>
      <w:r w:rsidRPr="005212A7">
        <w:rPr>
          <w:rFonts w:eastAsia="Calibri"/>
          <w:szCs w:val="21"/>
        </w:rPr>
        <w:t>-</w:t>
      </w:r>
      <w:r w:rsidRPr="005212A7">
        <w:rPr>
          <w:rFonts w:eastAsia="Calibri"/>
          <w:szCs w:val="21"/>
        </w:rPr>
        <w:tab/>
        <w:t>FX Forwards</w:t>
      </w:r>
    </w:p>
    <w:p w:rsidR="00570382" w:rsidRPr="005212A7" w:rsidRDefault="00570382" w:rsidP="00920DD2">
      <w:pPr>
        <w:pStyle w:val="ListParagraph"/>
        <w:rPr>
          <w:rFonts w:eastAsia="Calibri"/>
          <w:szCs w:val="21"/>
        </w:rPr>
      </w:pPr>
    </w:p>
    <w:p w:rsidR="00920DD2" w:rsidRPr="005212A7" w:rsidRDefault="00570382" w:rsidP="00920DD2">
      <w:pPr>
        <w:pStyle w:val="ListParagraph"/>
        <w:rPr>
          <w:szCs w:val="21"/>
        </w:rPr>
      </w:pPr>
      <w:r w:rsidRPr="005212A7">
        <w:rPr>
          <w:szCs w:val="21"/>
        </w:rPr>
        <w:t>Uitgangspunt bij het bepalen van best execution is een benchmarkprijs die samengesteld wordt uit de beschikbare prijsindicaties. De benchmark bid-offer is het uitgangspunt voor een efficiënte uitvoering en zodra een uitvoering buiten deze range wordt uitgevoerd, wordt vastgelegd waar de afwijking een gevolg van is. Deze afwijking wordt bepaald door middel van een bandbreedte in het Bloomberg Trade Cost Analysis systeem. In de werkbeschrijving van de afdeling is opgenomen welke bandbreedtes hiervoor gelden</w:t>
      </w:r>
      <w:r w:rsidRPr="005212A7">
        <w:rPr>
          <w:rStyle w:val="FootnoteReference"/>
          <w:szCs w:val="21"/>
        </w:rPr>
        <w:footnoteReference w:id="1"/>
      </w:r>
      <w:r w:rsidRPr="005212A7">
        <w:rPr>
          <w:szCs w:val="21"/>
        </w:rPr>
        <w:t>.</w:t>
      </w:r>
    </w:p>
    <w:p w:rsidR="00570382" w:rsidRPr="00570382" w:rsidRDefault="00570382" w:rsidP="00920DD2">
      <w:pPr>
        <w:pStyle w:val="ListParagraph"/>
      </w:pPr>
    </w:p>
    <w:p w:rsidR="00920DD2" w:rsidRDefault="00920DD2" w:rsidP="00570382">
      <w:pPr>
        <w:pStyle w:val="Heading2"/>
      </w:pPr>
      <w:bookmarkStart w:id="4" w:name="_Toc512727060"/>
      <w:r w:rsidRPr="00920DD2">
        <w:t xml:space="preserve">Criteria </w:t>
      </w:r>
      <w:r w:rsidR="00570382">
        <w:t>deposito’s &amp; r</w:t>
      </w:r>
      <w:r w:rsidR="00570382" w:rsidRPr="00570382">
        <w:t>epo’s</w:t>
      </w:r>
      <w:bookmarkEnd w:id="4"/>
    </w:p>
    <w:p w:rsidR="00920DD2" w:rsidRDefault="00570382" w:rsidP="00920DD2">
      <w:pPr>
        <w:pStyle w:val="ListParagraph"/>
      </w:pPr>
      <w:r w:rsidRPr="00570382">
        <w:t xml:space="preserve">De allocatie naar een specifieke tegenpartij gebeurt op basis van diverse criteria waaronder: prijshistorie voor verschillende transactiegroottes en looptijden, de geldmarktlimieten en maximum looptijd die wordt toegezegd aan de tegenpartij, de beschikbaarheid van de balans van de tegenpartij, het vermogen om het aantal incomplete orders te minimaliseren, kwaliteit van het settlement proces en de huidige exposure van de opdrachtgever naar de verschillende tegenpartijen. </w:t>
      </w:r>
    </w:p>
    <w:p w:rsidR="00570382" w:rsidRDefault="00570382" w:rsidP="00920DD2">
      <w:pPr>
        <w:pStyle w:val="ListParagraph"/>
      </w:pPr>
    </w:p>
    <w:p w:rsidR="00B54C7B" w:rsidRDefault="00B54C7B" w:rsidP="00570382">
      <w:pPr>
        <w:pStyle w:val="Heading2"/>
      </w:pPr>
      <w:bookmarkStart w:id="5" w:name="_Toc512727061"/>
      <w:r>
        <w:t xml:space="preserve">Criteria </w:t>
      </w:r>
      <w:r w:rsidR="00570382">
        <w:t>s</w:t>
      </w:r>
      <w:r w:rsidR="00570382" w:rsidRPr="00570382">
        <w:t>taatsobligaties</w:t>
      </w:r>
      <w:bookmarkEnd w:id="5"/>
    </w:p>
    <w:p w:rsidR="00570382" w:rsidRDefault="00570382" w:rsidP="00570382">
      <w:pPr>
        <w:pStyle w:val="ListParagraph"/>
      </w:pPr>
      <w:r>
        <w:t>De allocatie naar een specifieke tegenpartij gebeurt op basis van diverse criteria waaronder: de prijshistorie voor verschillende transactiegroottes, het vermogen om het aantal incomplete orders te minimaliseren, de kwaliteit van het settlement proces en de hit ratio.</w:t>
      </w:r>
    </w:p>
    <w:p w:rsidR="00570382" w:rsidRDefault="00570382" w:rsidP="00570382">
      <w:pPr>
        <w:pStyle w:val="ListParagraph"/>
      </w:pPr>
    </w:p>
    <w:p w:rsidR="00570382" w:rsidRDefault="00570382" w:rsidP="00570382">
      <w:pPr>
        <w:pStyle w:val="ListParagraph"/>
      </w:pPr>
      <w:r>
        <w:t xml:space="preserve">Kleine orders in staatsobligaties worden voornamelijk in competitie uitgevoerd via Bloomberg Chat en/of elektronisch handelen (indien beschikbaar). De verhandelbare quotes worden vergeleken en uitgevoerd met minimaal twee tegenpartijen die een quote hebben afgegeven. </w:t>
      </w:r>
    </w:p>
    <w:p w:rsidR="00570382" w:rsidRDefault="00570382" w:rsidP="00570382">
      <w:pPr>
        <w:pStyle w:val="ListParagraph"/>
      </w:pPr>
    </w:p>
    <w:p w:rsidR="00B54C7B" w:rsidRDefault="00570382" w:rsidP="00570382">
      <w:pPr>
        <w:pStyle w:val="ListParagraph"/>
      </w:pPr>
      <w:r>
        <w:t xml:space="preserve">Transacties met een grotere transactievolume en transacties in illiquide markten worden voornamelijk verhandeld via Bloomberg Chat of telefonisch met één tegenpartij. Hierdoor wordt de order discreet en snel uitgevoerd zonder daarbij de markt te verstoren. Deze transacties worden uitgevoerd bij tegenpartijen die gespecialiseerd zijn in die specifieke obligaties of obligatiemarkten of hebben andere kwaliteiten met betrekking tot die specifieke producten of markten. Op dagelijkse basis is er regelmatig contact tussen de tegenpartij en portefeuille beheerders over de ontwikkelingen in de markt, flows en opmerkelijkheden in vraag en aanbod in de verschillende markten. De selectie van tegenpartijen voor transacties met één tegenpartij is naast de positie op de MN brokerlijst mede afhankelijk van deze informatie. </w:t>
      </w:r>
      <w:r w:rsidR="00920DD2" w:rsidRPr="00920DD2">
        <w:t xml:space="preserve"> </w:t>
      </w:r>
    </w:p>
    <w:p w:rsidR="00920DD2" w:rsidRDefault="00920DD2">
      <w:pPr>
        <w:spacing w:after="160" w:line="259" w:lineRule="auto"/>
      </w:pPr>
    </w:p>
    <w:p w:rsidR="00F1504D" w:rsidRPr="00F1504D" w:rsidRDefault="00F1504D" w:rsidP="00F1504D">
      <w:pPr>
        <w:pStyle w:val="Heading2"/>
        <w:rPr>
          <w:szCs w:val="20"/>
        </w:rPr>
      </w:pPr>
      <w:bookmarkStart w:id="6" w:name="_Toc512727062"/>
      <w:r w:rsidRPr="00F1504D">
        <w:lastRenderedPageBreak/>
        <w:t xml:space="preserve">Criteria </w:t>
      </w:r>
      <w:r>
        <w:t>F</w:t>
      </w:r>
      <w:r w:rsidRPr="00F1504D">
        <w:t>X Swaps</w:t>
      </w:r>
      <w:bookmarkEnd w:id="6"/>
    </w:p>
    <w:p w:rsidR="00F1504D" w:rsidRDefault="00F1504D" w:rsidP="00F1504D">
      <w:r w:rsidRPr="00F1504D">
        <w:t>Onder normale marktomstandigheden wint de tegenpartij met de meest gunstige risico transfer prijs voor de handelsrichting van de order het ticket.</w:t>
      </w:r>
    </w:p>
    <w:p w:rsidR="00F1504D" w:rsidRDefault="00F1504D" w:rsidP="00F1504D"/>
    <w:p w:rsidR="00F1504D" w:rsidRPr="00F1504D" w:rsidRDefault="00F1504D" w:rsidP="00F1504D">
      <w:pPr>
        <w:pStyle w:val="Heading2"/>
      </w:pPr>
      <w:bookmarkStart w:id="7" w:name="_Toc512727063"/>
      <w:r>
        <w:t>Criteria F</w:t>
      </w:r>
      <w:r w:rsidRPr="00F1504D">
        <w:t>X Forwards</w:t>
      </w:r>
      <w:bookmarkEnd w:id="7"/>
    </w:p>
    <w:p w:rsidR="00F1504D" w:rsidRDefault="00F1504D" w:rsidP="00F1504D">
      <w:r w:rsidRPr="00F1504D">
        <w:t>Het is moeilijk om op beide onderdelen van een FX Forward beste uitvoering te bewerkstelligen, aangezien in een RFQ alleen de beste ‘all-in’ prijs kan worden gehandeld van de gehele FX forward (de winnende quote hoeft niet altijd de beste spot prijs én swap punten te bevatten) en het rollen van een FX spot die is gehandeld met een enkele tegenpartij kan niet in competitie worden gezet. Daarom worden FX forwards alleen gebruikt bij zeer kleine tickets, voor korte periodes of indien er slechts één tegenpartij beschikbaar is. Hierbij is de snelheid van uitvoering het belangrijkste om de transactiekosten te beperken.</w:t>
      </w:r>
    </w:p>
    <w:p w:rsidR="00B54C7B" w:rsidRDefault="00B54C7B" w:rsidP="00F1504D">
      <w:pPr>
        <w:rPr>
          <w:szCs w:val="20"/>
        </w:rPr>
      </w:pPr>
      <w:r>
        <w:br w:type="page"/>
      </w:r>
    </w:p>
    <w:p w:rsidR="00B54C7B" w:rsidRDefault="00B54C7B" w:rsidP="00B54C7B">
      <w:pPr>
        <w:pStyle w:val="Heading1"/>
      </w:pPr>
      <w:bookmarkStart w:id="8" w:name="_Toc512727064"/>
      <w:r>
        <w:lastRenderedPageBreak/>
        <w:t>Rapportage</w:t>
      </w:r>
      <w:bookmarkEnd w:id="8"/>
    </w:p>
    <w:p w:rsidR="00B54C7B" w:rsidRDefault="00B54C7B" w:rsidP="00B54C7B">
      <w:pPr>
        <w:pStyle w:val="Heading2"/>
      </w:pPr>
      <w:bookmarkStart w:id="9" w:name="_Toc512727065"/>
      <w:r w:rsidRPr="00B54C7B">
        <w:t>Rapportages</w:t>
      </w:r>
      <w:bookmarkEnd w:id="9"/>
    </w:p>
    <w:p w:rsidR="00B54C7B" w:rsidRDefault="00B54C7B" w:rsidP="00B54C7B">
      <w:pPr>
        <w:rPr>
          <w:lang w:eastAsia="nl-NL"/>
        </w:rPr>
      </w:pPr>
      <w:r w:rsidRPr="00B54C7B">
        <w:rPr>
          <w:lang w:eastAsia="nl-NL"/>
        </w:rPr>
        <w:t>Jaarlijks publiceert Vermogensbeheer een overzicht van de vijf uitvoeringsplatformen met de meeste transacties van opdrachtgevers. Dit overzicht word</w:t>
      </w:r>
      <w:r>
        <w:rPr>
          <w:lang w:eastAsia="nl-NL"/>
        </w:rPr>
        <w:t>t per categorie van financiële i</w:t>
      </w:r>
      <w:r w:rsidRPr="00B54C7B">
        <w:rPr>
          <w:lang w:eastAsia="nl-NL"/>
        </w:rPr>
        <w:t xml:space="preserve">nstrumenten opgesteld. Aangezien Vermogensbeheer alleen handelt met tegenpartijen en deze tegenpartijen bepalen of orders agressief of passief worden verhandeld, wordt de kolom passief/agressief in deze rapportage niet gevuld. Vermogensbeheer geeft tegenpartijen geen specifieke instructies mee die leiden tot het passief of agressief uitvoeren van een order conform de definitie van MiFID II. </w:t>
      </w:r>
    </w:p>
    <w:p w:rsidR="00B54C7B" w:rsidRDefault="00B54C7B" w:rsidP="00B54C7B">
      <w:pPr>
        <w:rPr>
          <w:lang w:eastAsia="nl-NL"/>
        </w:rPr>
      </w:pPr>
    </w:p>
    <w:p w:rsidR="00B54C7B" w:rsidRDefault="00B54C7B" w:rsidP="00B54C7B">
      <w:pPr>
        <w:pStyle w:val="Heading2"/>
      </w:pPr>
      <w:bookmarkStart w:id="10" w:name="_Toc512727066"/>
      <w:r w:rsidRPr="00B54C7B">
        <w:t>Overig</w:t>
      </w:r>
      <w:bookmarkEnd w:id="10"/>
    </w:p>
    <w:p w:rsidR="00B54C7B" w:rsidRDefault="00B54C7B" w:rsidP="00B54C7B">
      <w:pPr>
        <w:rPr>
          <w:lang w:eastAsia="nl-NL"/>
        </w:rPr>
      </w:pPr>
      <w:r w:rsidRPr="00B54C7B">
        <w:rPr>
          <w:lang w:eastAsia="nl-NL"/>
        </w:rPr>
        <w:t>MN is niet op enigerlei wijze gelieerd aan partijen die de uitvoering van de transacties verzorgen voor MN. Ook zijn er geen afspraken met deze partijen gemaakt over korting en andersoortige voordelen. Voor het evalueren van de kwaliteit uitvoering maakt MN onder andere gebruik van Bloomberg BTCA.</w:t>
      </w:r>
    </w:p>
    <w:p w:rsidR="00D811D5" w:rsidRDefault="00D811D5">
      <w:pPr>
        <w:spacing w:after="160" w:line="259" w:lineRule="auto"/>
        <w:rPr>
          <w:lang w:eastAsia="nl-NL"/>
        </w:rPr>
      </w:pPr>
      <w:r>
        <w:rPr>
          <w:lang w:eastAsia="nl-NL"/>
        </w:rPr>
        <w:br w:type="page"/>
      </w:r>
    </w:p>
    <w:p w:rsidR="00D811D5" w:rsidRDefault="00D811D5" w:rsidP="00D811D5">
      <w:pPr>
        <w:rPr>
          <w:lang w:eastAsia="nl-NL"/>
        </w:rPr>
      </w:pPr>
      <w:r w:rsidRPr="004E2141">
        <w:rPr>
          <w:color w:val="1A2A6A"/>
          <w:sz w:val="48"/>
          <w:szCs w:val="48"/>
        </w:rPr>
        <w:lastRenderedPageBreak/>
        <w:t>Colofon</w:t>
      </w:r>
    </w:p>
    <w:p w:rsidR="00D811D5" w:rsidRDefault="00D811D5" w:rsidP="00D811D5">
      <w:pPr>
        <w:rPr>
          <w:rFonts w:eastAsia="Times New Roman"/>
          <w:color w:val="35A1DF"/>
          <w:sz w:val="24"/>
          <w:szCs w:val="26"/>
          <w:lang w:eastAsia="nl-NL"/>
        </w:rPr>
      </w:pPr>
    </w:p>
    <w:p w:rsidR="00D811D5" w:rsidRPr="004E2141" w:rsidRDefault="00D811D5" w:rsidP="00D811D5">
      <w:pPr>
        <w:rPr>
          <w:rFonts w:eastAsia="Times New Roman"/>
          <w:color w:val="35A1DF"/>
          <w:sz w:val="24"/>
          <w:szCs w:val="26"/>
          <w:lang w:eastAsia="nl-NL"/>
        </w:rPr>
      </w:pPr>
      <w:r w:rsidRPr="004E2141">
        <w:rPr>
          <w:rFonts w:eastAsia="Times New Roman"/>
          <w:color w:val="35A1DF"/>
          <w:sz w:val="24"/>
          <w:szCs w:val="26"/>
          <w:lang w:eastAsia="nl-NL"/>
        </w:rPr>
        <w:t>Tekst</w:t>
      </w:r>
    </w:p>
    <w:p w:rsidR="00D811D5" w:rsidRDefault="00D811D5" w:rsidP="00D811D5">
      <w:pPr>
        <w:rPr>
          <w:lang w:eastAsia="nl-NL"/>
        </w:rPr>
      </w:pPr>
      <w:r>
        <w:rPr>
          <w:lang w:eastAsia="nl-NL"/>
        </w:rPr>
        <w:t>MN</w:t>
      </w:r>
    </w:p>
    <w:p w:rsidR="00D811D5" w:rsidRDefault="00D811D5" w:rsidP="00D811D5">
      <w:pPr>
        <w:rPr>
          <w:rFonts w:eastAsia="Times New Roman"/>
          <w:color w:val="35A1DF"/>
          <w:sz w:val="24"/>
          <w:szCs w:val="26"/>
          <w:lang w:eastAsia="nl-NL"/>
        </w:rPr>
      </w:pPr>
    </w:p>
    <w:p w:rsidR="00D811D5" w:rsidRPr="004E2141" w:rsidRDefault="00D811D5" w:rsidP="00D811D5">
      <w:pPr>
        <w:rPr>
          <w:rFonts w:eastAsia="Times New Roman"/>
          <w:color w:val="35A1DF"/>
          <w:sz w:val="24"/>
          <w:szCs w:val="26"/>
          <w:lang w:eastAsia="nl-NL"/>
        </w:rPr>
      </w:pPr>
      <w:r w:rsidRPr="004E2141">
        <w:rPr>
          <w:rFonts w:eastAsia="Times New Roman"/>
          <w:color w:val="35A1DF"/>
          <w:sz w:val="24"/>
          <w:szCs w:val="26"/>
          <w:lang w:eastAsia="nl-NL"/>
        </w:rPr>
        <w:t>Concept en vormgeving</w:t>
      </w:r>
    </w:p>
    <w:p w:rsidR="00D811D5" w:rsidRPr="00D40603" w:rsidRDefault="00D811D5" w:rsidP="00D811D5">
      <w:pPr>
        <w:rPr>
          <w:lang w:val="fr-FR" w:eastAsia="nl-NL"/>
        </w:rPr>
      </w:pPr>
      <w:r w:rsidRPr="00D40603">
        <w:rPr>
          <w:lang w:val="fr-FR" w:eastAsia="nl-NL"/>
        </w:rPr>
        <w:t>MN</w:t>
      </w: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p>
    <w:p w:rsidR="00D811D5" w:rsidRPr="00D40603" w:rsidRDefault="00D811D5" w:rsidP="00D811D5">
      <w:pPr>
        <w:rPr>
          <w:lang w:val="fr-FR" w:eastAsia="nl-NL"/>
        </w:rPr>
      </w:pPr>
      <w:r w:rsidRPr="00D40603">
        <w:rPr>
          <w:lang w:val="fr-FR" w:eastAsia="nl-NL"/>
        </w:rPr>
        <w:t>MN</w:t>
      </w:r>
    </w:p>
    <w:p w:rsidR="00D811D5" w:rsidRPr="00D40603" w:rsidRDefault="00D811D5" w:rsidP="00D811D5">
      <w:pPr>
        <w:rPr>
          <w:lang w:val="fr-FR" w:eastAsia="nl-NL"/>
        </w:rPr>
      </w:pPr>
      <w:r w:rsidRPr="00D40603">
        <w:rPr>
          <w:lang w:val="fr-FR" w:eastAsia="nl-NL"/>
        </w:rPr>
        <w:t>Prinses Beatrixlaan 15</w:t>
      </w:r>
    </w:p>
    <w:p w:rsidR="00D811D5" w:rsidRPr="00D40603" w:rsidRDefault="00D811D5" w:rsidP="00D811D5">
      <w:pPr>
        <w:rPr>
          <w:lang w:val="fr-FR" w:eastAsia="nl-NL"/>
        </w:rPr>
      </w:pPr>
      <w:r w:rsidRPr="00D40603">
        <w:rPr>
          <w:lang w:val="fr-FR" w:eastAsia="nl-NL"/>
        </w:rPr>
        <w:t>Postbus 30025</w:t>
      </w:r>
    </w:p>
    <w:p w:rsidR="00D811D5" w:rsidRDefault="00D811D5" w:rsidP="00D811D5">
      <w:pPr>
        <w:rPr>
          <w:lang w:eastAsia="nl-NL"/>
        </w:rPr>
      </w:pPr>
      <w:r>
        <w:rPr>
          <w:lang w:eastAsia="nl-NL"/>
        </w:rPr>
        <w:t>2500 GA Den Haag</w:t>
      </w:r>
    </w:p>
    <w:p w:rsidR="00D811D5" w:rsidRDefault="00D811D5" w:rsidP="00D811D5">
      <w:pPr>
        <w:rPr>
          <w:lang w:eastAsia="nl-NL"/>
        </w:rPr>
      </w:pPr>
    </w:p>
    <w:p w:rsidR="00D811D5" w:rsidRDefault="00D811D5" w:rsidP="00D811D5">
      <w:pPr>
        <w:rPr>
          <w:lang w:eastAsia="nl-NL"/>
        </w:rPr>
      </w:pPr>
      <w:r>
        <w:rPr>
          <w:lang w:eastAsia="nl-NL"/>
        </w:rPr>
        <w:t>T +31 (0)70 316 01 60</w:t>
      </w:r>
    </w:p>
    <w:p w:rsidR="00D811D5" w:rsidRDefault="00D811D5" w:rsidP="00D811D5">
      <w:pPr>
        <w:rPr>
          <w:lang w:eastAsia="nl-NL"/>
        </w:rPr>
      </w:pPr>
      <w:r>
        <w:rPr>
          <w:lang w:eastAsia="nl-NL"/>
        </w:rPr>
        <w:t>F +31 (0)70 316 04 75</w:t>
      </w:r>
    </w:p>
    <w:p w:rsidR="00D811D5" w:rsidRPr="00B54C7B" w:rsidRDefault="00D40603" w:rsidP="00B54C7B">
      <w:pPr>
        <w:rPr>
          <w:lang w:eastAsia="nl-NL"/>
        </w:rPr>
      </w:pPr>
      <w:r>
        <w:rPr>
          <w:noProof/>
          <w:lang w:eastAsia="nl-NL"/>
        </w:rPr>
        <mc:AlternateContent>
          <mc:Choice Requires="wps">
            <w:drawing>
              <wp:anchor distT="0" distB="0" distL="114300" distR="114300" simplePos="0" relativeHeight="251663360" behindDoc="0" locked="0" layoutInCell="1" allowOverlap="1" wp14:anchorId="7B060725" wp14:editId="314D0CD4">
                <wp:simplePos x="0" y="0"/>
                <wp:positionH relativeFrom="column">
                  <wp:posOffset>-83820</wp:posOffset>
                </wp:positionH>
                <wp:positionV relativeFrom="paragraph">
                  <wp:posOffset>571500</wp:posOffset>
                </wp:positionV>
                <wp:extent cx="5577840" cy="2971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557784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00F8" id="Rectangle 1" o:spid="_x0000_s1026" style="position:absolute;margin-left:-6.6pt;margin-top:45pt;width:439.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" fillcolor="white [3212]" strokecolor="white [3212]" strokeweight="1pt"/>
            </w:pict>
          </mc:Fallback>
        </mc:AlternateContent>
      </w:r>
      <w:r w:rsidR="00D811D5">
        <w:rPr>
          <w:lang w:eastAsia="nl-NL"/>
        </w:rPr>
        <w:t>www.mn.nl</w:t>
      </w:r>
    </w:p>
    <w:sectPr w:rsidR="00D811D5" w:rsidRPr="00B54C7B" w:rsidSect="003F2C7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41" w:rsidRDefault="00441D41" w:rsidP="003F2C7F">
      <w:pPr>
        <w:spacing w:line="240" w:lineRule="auto"/>
      </w:pPr>
      <w:r>
        <w:separator/>
      </w:r>
    </w:p>
  </w:endnote>
  <w:endnote w:type="continuationSeparator" w:id="0">
    <w:p w:rsidR="00441D41" w:rsidRDefault="00441D41" w:rsidP="003F2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7F" w:rsidRPr="003F63C7" w:rsidRDefault="00441D41" w:rsidP="003F2C7F">
    <w:pPr>
      <w:pStyle w:val="Footer"/>
      <w:tabs>
        <w:tab w:val="left" w:pos="851"/>
      </w:tabs>
      <w:rPr>
        <w:sz w:val="18"/>
        <w:szCs w:val="18"/>
      </w:rPr>
    </w:pPr>
    <w:sdt>
      <w:sdtPr>
        <w:rPr>
          <w:sz w:val="18"/>
          <w:szCs w:val="18"/>
        </w:rPr>
        <w:id w:val="-1158528658"/>
        <w:docPartObj>
          <w:docPartGallery w:val="Page Numbers (Bottom of Page)"/>
          <w:docPartUnique/>
        </w:docPartObj>
      </w:sdtPr>
      <w:sdtEndPr>
        <w:rPr>
          <w:noProof/>
        </w:rPr>
      </w:sdtEndPr>
      <w:sdtContent>
        <w:r w:rsidR="003F2C7F" w:rsidRPr="003F63C7">
          <w:rPr>
            <w:color w:val="1A2A6A"/>
            <w:sz w:val="18"/>
            <w:szCs w:val="18"/>
          </w:rPr>
          <w:fldChar w:fldCharType="begin"/>
        </w:r>
        <w:r w:rsidR="003F2C7F" w:rsidRPr="003F63C7">
          <w:rPr>
            <w:color w:val="1A2A6A"/>
            <w:sz w:val="18"/>
            <w:szCs w:val="18"/>
          </w:rPr>
          <w:instrText xml:space="preserve"> PAGE   \* MERGEFORMAT </w:instrText>
        </w:r>
        <w:r w:rsidR="003F2C7F" w:rsidRPr="003F63C7">
          <w:rPr>
            <w:color w:val="1A2A6A"/>
            <w:sz w:val="18"/>
            <w:szCs w:val="18"/>
          </w:rPr>
          <w:fldChar w:fldCharType="separate"/>
        </w:r>
        <w:r w:rsidR="00474E8C">
          <w:rPr>
            <w:noProof/>
            <w:color w:val="1A2A6A"/>
            <w:sz w:val="18"/>
            <w:szCs w:val="18"/>
          </w:rPr>
          <w:t>3</w:t>
        </w:r>
        <w:r w:rsidR="003F2C7F" w:rsidRPr="003F63C7">
          <w:rPr>
            <w:noProof/>
            <w:color w:val="1A2A6A"/>
            <w:sz w:val="18"/>
            <w:szCs w:val="18"/>
          </w:rPr>
          <w:fldChar w:fldCharType="end"/>
        </w:r>
        <w:r w:rsidR="003F2C7F" w:rsidRPr="003F63C7">
          <w:rPr>
            <w:noProof/>
            <w:color w:val="1A2A6A"/>
            <w:sz w:val="18"/>
            <w:szCs w:val="18"/>
          </w:rPr>
          <w:t>.</w:t>
        </w:r>
        <w:r w:rsidR="003F2C7F" w:rsidRPr="003F63C7">
          <w:rPr>
            <w:noProof/>
            <w:color w:val="1A2A6A"/>
            <w:sz w:val="18"/>
            <w:szCs w:val="18"/>
          </w:rPr>
          <w:tab/>
        </w:r>
        <w:r w:rsidR="003F2C7F" w:rsidRPr="003F63C7">
          <w:rPr>
            <w:noProof/>
            <w:sz w:val="18"/>
            <w:szCs w:val="18"/>
          </w:rPr>
          <w:t>Mn Services Vermogensbeheer B.V.</w:t>
        </w:r>
        <w:r w:rsidR="00C97E35" w:rsidRPr="003F63C7">
          <w:rPr>
            <w:noProof/>
            <w:sz w:val="18"/>
            <w:szCs w:val="18"/>
          </w:rPr>
          <w:t>:</w:t>
        </w:r>
        <w:r w:rsidR="003F2C7F" w:rsidRPr="003F63C7">
          <w:rPr>
            <w:noProof/>
            <w:sz w:val="18"/>
            <w:szCs w:val="18"/>
          </w:rPr>
          <w:t xml:space="preserve">  Jaarverslag best execution </w:t>
        </w:r>
        <w:r w:rsidR="00A8470E">
          <w:rPr>
            <w:noProof/>
            <w:sz w:val="18"/>
            <w:szCs w:val="18"/>
          </w:rPr>
          <w:t>treasury</w:t>
        </w:r>
      </w:sdtContent>
    </w:sdt>
    <w:r w:rsidR="00C97E35" w:rsidRPr="003F63C7">
      <w:rPr>
        <w:noProof/>
        <w:sz w:val="18"/>
        <w:szCs w:val="18"/>
      </w:rPr>
      <w:t xml:space="preserve"> 201</w:t>
    </w:r>
    <w:r w:rsidR="004E3410">
      <w:rPr>
        <w:noProof/>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41" w:rsidRDefault="00441D41" w:rsidP="003F2C7F">
      <w:pPr>
        <w:spacing w:line="240" w:lineRule="auto"/>
      </w:pPr>
      <w:r>
        <w:separator/>
      </w:r>
    </w:p>
  </w:footnote>
  <w:footnote w:type="continuationSeparator" w:id="0">
    <w:p w:rsidR="00441D41" w:rsidRDefault="00441D41" w:rsidP="003F2C7F">
      <w:pPr>
        <w:spacing w:line="240" w:lineRule="auto"/>
      </w:pPr>
      <w:r>
        <w:continuationSeparator/>
      </w:r>
    </w:p>
  </w:footnote>
  <w:footnote w:id="1">
    <w:p w:rsidR="00570382" w:rsidRPr="00570382" w:rsidRDefault="00570382" w:rsidP="00570382">
      <w:pPr>
        <w:pStyle w:val="FootnoteText"/>
        <w:rPr>
          <w:sz w:val="18"/>
          <w:szCs w:val="18"/>
        </w:rPr>
      </w:pPr>
      <w:r w:rsidRPr="00570382">
        <w:rPr>
          <w:rStyle w:val="FootnoteReference"/>
          <w:sz w:val="18"/>
          <w:szCs w:val="18"/>
        </w:rPr>
        <w:footnoteRef/>
      </w:r>
      <w:r w:rsidRPr="00570382">
        <w:rPr>
          <w:sz w:val="18"/>
          <w:szCs w:val="18"/>
        </w:rPr>
        <w:t xml:space="preserve"> Voor de instrumenten die in scope van MiFID II vallen.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A92"/>
    <w:multiLevelType w:val="multilevel"/>
    <w:tmpl w:val="D2D00C68"/>
    <w:styleLink w:val="MNListBullet"/>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 w15:restartNumberingAfterBreak="0">
    <w:nsid w:val="1D796BC0"/>
    <w:multiLevelType w:val="hybridMultilevel"/>
    <w:tmpl w:val="07604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C063E"/>
    <w:multiLevelType w:val="multilevel"/>
    <w:tmpl w:val="E1121E66"/>
    <w:styleLink w:val="MNListDash"/>
    <w:lvl w:ilvl="0">
      <w:start w:val="1"/>
      <w:numFmt w:val="bullet"/>
      <w:lvlText w:val="-"/>
      <w:lvlJc w:val="left"/>
      <w:pPr>
        <w:ind w:left="340" w:hanging="340"/>
      </w:pPr>
      <w:rPr>
        <w:rFonts w:ascii="Calibri" w:hAnsi="Calibri" w:hint="default"/>
        <w:color w:val="auto"/>
        <w:sz w:val="21"/>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sz w:val="21"/>
      </w:rPr>
    </w:lvl>
    <w:lvl w:ilvl="3">
      <w:start w:val="1"/>
      <w:numFmt w:val="bullet"/>
      <w:lvlText w:val="-"/>
      <w:lvlJc w:val="left"/>
      <w:pPr>
        <w:ind w:left="1360" w:hanging="340"/>
      </w:pPr>
      <w:rPr>
        <w:rFonts w:ascii="Calibri" w:hAnsi="Calibri" w:hint="default"/>
        <w:color w:val="auto"/>
        <w:sz w:val="21"/>
      </w:rPr>
    </w:lvl>
    <w:lvl w:ilvl="4">
      <w:start w:val="1"/>
      <w:numFmt w:val="bullet"/>
      <w:lvlText w:val="-"/>
      <w:lvlJc w:val="left"/>
      <w:pPr>
        <w:ind w:left="1700" w:hanging="340"/>
      </w:pPr>
      <w:rPr>
        <w:rFonts w:ascii="Calibri" w:hAnsi="Calibri" w:hint="default"/>
        <w:color w:val="auto"/>
        <w:sz w:val="21"/>
      </w:rPr>
    </w:lvl>
    <w:lvl w:ilvl="5">
      <w:start w:val="1"/>
      <w:numFmt w:val="bullet"/>
      <w:lvlText w:val="-"/>
      <w:lvlJc w:val="left"/>
      <w:pPr>
        <w:ind w:left="2040" w:hanging="340"/>
      </w:pPr>
      <w:rPr>
        <w:rFonts w:ascii="Calibri" w:hAnsi="Calibri" w:hint="default"/>
        <w:color w:val="auto"/>
        <w:sz w:val="21"/>
      </w:rPr>
    </w:lvl>
    <w:lvl w:ilvl="6">
      <w:start w:val="1"/>
      <w:numFmt w:val="bullet"/>
      <w:lvlText w:val="-"/>
      <w:lvlJc w:val="left"/>
      <w:pPr>
        <w:ind w:left="2380" w:hanging="340"/>
      </w:pPr>
      <w:rPr>
        <w:rFonts w:ascii="Calibri" w:hAnsi="Calibri" w:hint="default"/>
        <w:color w:val="auto"/>
        <w:sz w:val="21"/>
      </w:rPr>
    </w:lvl>
    <w:lvl w:ilvl="7">
      <w:start w:val="1"/>
      <w:numFmt w:val="bullet"/>
      <w:lvlText w:val="-"/>
      <w:lvlJc w:val="left"/>
      <w:pPr>
        <w:ind w:left="2720" w:hanging="340"/>
      </w:pPr>
      <w:rPr>
        <w:rFonts w:ascii="Calibri" w:hAnsi="Calibri" w:hint="default"/>
        <w:color w:val="auto"/>
        <w:sz w:val="21"/>
      </w:rPr>
    </w:lvl>
    <w:lvl w:ilvl="8">
      <w:start w:val="1"/>
      <w:numFmt w:val="bullet"/>
      <w:lvlText w:val="-"/>
      <w:lvlJc w:val="left"/>
      <w:pPr>
        <w:ind w:left="3060" w:hanging="340"/>
      </w:pPr>
      <w:rPr>
        <w:rFonts w:ascii="Calibri" w:hAnsi="Calibri" w:hint="default"/>
        <w:color w:val="auto"/>
        <w:sz w:val="21"/>
      </w:rPr>
    </w:lvl>
  </w:abstractNum>
  <w:abstractNum w:abstractNumId="3" w15:restartNumberingAfterBreak="0">
    <w:nsid w:val="389B5A01"/>
    <w:multiLevelType w:val="hybridMultilevel"/>
    <w:tmpl w:val="5C9E7AA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96ACB"/>
    <w:multiLevelType w:val="multilevel"/>
    <w:tmpl w:val="859077B2"/>
    <w:styleLink w:val="MNListnumber"/>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decimal"/>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decimal"/>
      <w:lvlText w:val="%5"/>
      <w:lvlJc w:val="left"/>
      <w:pPr>
        <w:ind w:left="1701" w:hanging="340"/>
      </w:pPr>
      <w:rPr>
        <w:rFonts w:hint="default"/>
      </w:rPr>
    </w:lvl>
    <w:lvl w:ilvl="5">
      <w:start w:val="1"/>
      <w:numFmt w:val="decimal"/>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decimal"/>
      <w:lvlText w:val="%8"/>
      <w:lvlJc w:val="left"/>
      <w:pPr>
        <w:ind w:left="2722" w:hanging="341"/>
      </w:pPr>
      <w:rPr>
        <w:rFonts w:hint="default"/>
      </w:rPr>
    </w:lvl>
    <w:lvl w:ilvl="8">
      <w:start w:val="1"/>
      <w:numFmt w:val="decimal"/>
      <w:lvlText w:val="%9"/>
      <w:lvlJc w:val="left"/>
      <w:pPr>
        <w:ind w:left="3062" w:hanging="340"/>
      </w:pPr>
      <w:rPr>
        <w:rFonts w:hint="default"/>
      </w:rPr>
    </w:lvl>
  </w:abstractNum>
  <w:abstractNum w:abstractNumId="5" w15:restartNumberingAfterBreak="0">
    <w:nsid w:val="5A2D44FA"/>
    <w:multiLevelType w:val="multilevel"/>
    <w:tmpl w:val="31109C0C"/>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79A8691A"/>
    <w:multiLevelType w:val="multilevel"/>
    <w:tmpl w:val="4EFEFE88"/>
    <w:styleLink w:val="MNListCharacter"/>
    <w:lvl w:ilvl="0">
      <w:start w:val="1"/>
      <w:numFmt w:val="upperLetter"/>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upperLetter"/>
      <w:lvlText w:val="%3"/>
      <w:lvlJc w:val="left"/>
      <w:pPr>
        <w:ind w:left="1021" w:hanging="341"/>
      </w:pPr>
      <w:rPr>
        <w:rFonts w:hint="default"/>
      </w:rPr>
    </w:lvl>
    <w:lvl w:ilvl="3">
      <w:start w:val="1"/>
      <w:numFmt w:val="upperLetter"/>
      <w:lvlText w:val="%4"/>
      <w:lvlJc w:val="left"/>
      <w:pPr>
        <w:ind w:left="1361" w:hanging="340"/>
      </w:pPr>
      <w:rPr>
        <w:rFonts w:hint="default"/>
      </w:rPr>
    </w:lvl>
    <w:lvl w:ilvl="4">
      <w:start w:val="1"/>
      <w:numFmt w:val="upperLetter"/>
      <w:lvlText w:val="%5"/>
      <w:lvlJc w:val="left"/>
      <w:pPr>
        <w:ind w:left="1701" w:hanging="340"/>
      </w:pPr>
      <w:rPr>
        <w:rFonts w:hint="default"/>
      </w:rPr>
    </w:lvl>
    <w:lvl w:ilvl="5">
      <w:start w:val="1"/>
      <w:numFmt w:val="upperLetter"/>
      <w:lvlText w:val="%6"/>
      <w:lvlJc w:val="left"/>
      <w:pPr>
        <w:ind w:left="2041" w:hanging="340"/>
      </w:pPr>
      <w:rPr>
        <w:rFonts w:hint="default"/>
      </w:rPr>
    </w:lvl>
    <w:lvl w:ilvl="6">
      <w:start w:val="1"/>
      <w:numFmt w:val="upperLetter"/>
      <w:lvlText w:val="%7"/>
      <w:lvlJc w:val="left"/>
      <w:pPr>
        <w:ind w:left="2381" w:hanging="340"/>
      </w:pPr>
      <w:rPr>
        <w:rFonts w:hint="default"/>
      </w:rPr>
    </w:lvl>
    <w:lvl w:ilvl="7">
      <w:start w:val="1"/>
      <w:numFmt w:val="upperLetter"/>
      <w:lvlText w:val="%8"/>
      <w:lvlJc w:val="left"/>
      <w:pPr>
        <w:ind w:left="2722" w:hanging="341"/>
      </w:pPr>
      <w:rPr>
        <w:rFonts w:hint="default"/>
      </w:rPr>
    </w:lvl>
    <w:lvl w:ilvl="8">
      <w:start w:val="1"/>
      <w:numFmt w:val="upperLetter"/>
      <w:lvlText w:val="%9"/>
      <w:lvlJc w:val="left"/>
      <w:pPr>
        <w:ind w:left="3062" w:hanging="340"/>
      </w:pPr>
      <w:rPr>
        <w:rFonts w:hint="default"/>
      </w:rPr>
    </w:lvl>
  </w:abstractNum>
  <w:num w:numId="1">
    <w:abstractNumId w:val="0"/>
  </w:num>
  <w:num w:numId="2">
    <w:abstractNumId w:val="6"/>
  </w:num>
  <w:num w:numId="3">
    <w:abstractNumId w:val="2"/>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7B"/>
    <w:rsid w:val="00000056"/>
    <w:rsid w:val="001843FA"/>
    <w:rsid w:val="001F5E8B"/>
    <w:rsid w:val="00245EDE"/>
    <w:rsid w:val="00253C51"/>
    <w:rsid w:val="003A2AC9"/>
    <w:rsid w:val="003F2C7F"/>
    <w:rsid w:val="003F63C7"/>
    <w:rsid w:val="00417AB4"/>
    <w:rsid w:val="00441D41"/>
    <w:rsid w:val="00474E8C"/>
    <w:rsid w:val="004E3410"/>
    <w:rsid w:val="005212A7"/>
    <w:rsid w:val="00550B75"/>
    <w:rsid w:val="00570382"/>
    <w:rsid w:val="006C6B26"/>
    <w:rsid w:val="00766514"/>
    <w:rsid w:val="007B6B09"/>
    <w:rsid w:val="007E6611"/>
    <w:rsid w:val="007F78B9"/>
    <w:rsid w:val="008B67E0"/>
    <w:rsid w:val="008F37A0"/>
    <w:rsid w:val="00920DD2"/>
    <w:rsid w:val="00927B22"/>
    <w:rsid w:val="0098090F"/>
    <w:rsid w:val="00A76C84"/>
    <w:rsid w:val="00A8470E"/>
    <w:rsid w:val="00B10CFE"/>
    <w:rsid w:val="00B54C7B"/>
    <w:rsid w:val="00C81C54"/>
    <w:rsid w:val="00C97E35"/>
    <w:rsid w:val="00D40603"/>
    <w:rsid w:val="00D52DDF"/>
    <w:rsid w:val="00D811D5"/>
    <w:rsid w:val="00EA345A"/>
    <w:rsid w:val="00F1504D"/>
    <w:rsid w:val="00F90553"/>
    <w:rsid w:val="00FB3D62"/>
    <w:rsid w:val="00FF2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80CA3-AAB3-418F-96F4-994CA19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7B"/>
    <w:pPr>
      <w:spacing w:after="0" w:line="280" w:lineRule="atLeast"/>
    </w:pPr>
    <w:rPr>
      <w:rFonts w:ascii="Georgia" w:hAnsi="Georgia" w:cs="Times New Roman"/>
      <w:sz w:val="21"/>
    </w:rPr>
  </w:style>
  <w:style w:type="paragraph" w:styleId="Heading1">
    <w:name w:val="heading 1"/>
    <w:basedOn w:val="Normal"/>
    <w:next w:val="Normal"/>
    <w:link w:val="Heading1Char"/>
    <w:uiPriority w:val="9"/>
    <w:qFormat/>
    <w:rsid w:val="00B54C7B"/>
    <w:pPr>
      <w:keepNext/>
      <w:keepLines/>
      <w:numPr>
        <w:numId w:val="13"/>
      </w:numPr>
      <w:spacing w:before="240" w:after="240"/>
      <w:outlineLvl w:val="0"/>
    </w:pPr>
    <w:rPr>
      <w:rFonts w:eastAsia="Times New Roman"/>
      <w:bCs/>
      <w:color w:val="1A2A6A"/>
      <w:sz w:val="48"/>
      <w:szCs w:val="28"/>
      <w:lang w:eastAsia="nl-NL"/>
    </w:rPr>
  </w:style>
  <w:style w:type="paragraph" w:styleId="Heading2">
    <w:name w:val="heading 2"/>
    <w:basedOn w:val="Heading1"/>
    <w:next w:val="Normal"/>
    <w:link w:val="Heading2Char"/>
    <w:uiPriority w:val="9"/>
    <w:qFormat/>
    <w:rsid w:val="008B67E0"/>
    <w:pPr>
      <w:numPr>
        <w:ilvl w:val="1"/>
      </w:numPr>
      <w:outlineLvl w:val="1"/>
    </w:pPr>
    <w:rPr>
      <w:bCs w:val="0"/>
      <w:color w:val="35A1DF"/>
      <w:sz w:val="24"/>
      <w:szCs w:val="26"/>
    </w:rPr>
  </w:style>
  <w:style w:type="paragraph" w:styleId="Heading3">
    <w:name w:val="heading 3"/>
    <w:basedOn w:val="Heading2"/>
    <w:next w:val="Normal"/>
    <w:link w:val="Heading3Char"/>
    <w:uiPriority w:val="9"/>
    <w:qFormat/>
    <w:rsid w:val="007B6B09"/>
    <w:pPr>
      <w:numPr>
        <w:ilvl w:val="2"/>
      </w:numPr>
      <w:outlineLvl w:val="2"/>
    </w:pPr>
    <w:rPr>
      <w:rFonts w:eastAsiaTheme="majorEastAsia" w:cstheme="majorBidi"/>
      <w:bCs/>
    </w:rPr>
  </w:style>
  <w:style w:type="paragraph" w:styleId="Heading4">
    <w:name w:val="heading 4"/>
    <w:basedOn w:val="Heading3"/>
    <w:next w:val="Normal"/>
    <w:link w:val="Heading4Char"/>
    <w:uiPriority w:val="9"/>
    <w:semiHidden/>
    <w:qFormat/>
    <w:rsid w:val="007B6B09"/>
    <w:pPr>
      <w:numPr>
        <w:ilvl w:val="3"/>
      </w:numPr>
      <w:outlineLvl w:val="3"/>
    </w:pPr>
    <w:rPr>
      <w:bCs w:val="0"/>
      <w:iCs/>
    </w:rPr>
  </w:style>
  <w:style w:type="paragraph" w:styleId="Heading5">
    <w:name w:val="heading 5"/>
    <w:basedOn w:val="Heading4"/>
    <w:next w:val="Normal"/>
    <w:link w:val="Heading5Char"/>
    <w:uiPriority w:val="9"/>
    <w:semiHidden/>
    <w:qFormat/>
    <w:rsid w:val="007B6B09"/>
    <w:pPr>
      <w:numPr>
        <w:ilvl w:val="4"/>
      </w:numPr>
      <w:outlineLvl w:val="4"/>
    </w:pPr>
  </w:style>
  <w:style w:type="paragraph" w:styleId="Heading6">
    <w:name w:val="heading 6"/>
    <w:basedOn w:val="Heading5"/>
    <w:next w:val="Normal"/>
    <w:link w:val="Heading6Char"/>
    <w:uiPriority w:val="9"/>
    <w:semiHidden/>
    <w:qFormat/>
    <w:rsid w:val="007B6B09"/>
    <w:pPr>
      <w:numPr>
        <w:ilvl w:val="5"/>
      </w:numPr>
      <w:outlineLvl w:val="5"/>
    </w:pPr>
    <w:rPr>
      <w:iCs w:val="0"/>
    </w:rPr>
  </w:style>
  <w:style w:type="paragraph" w:styleId="Heading7">
    <w:name w:val="heading 7"/>
    <w:basedOn w:val="Heading6"/>
    <w:next w:val="Normal"/>
    <w:link w:val="Heading7Char"/>
    <w:uiPriority w:val="9"/>
    <w:semiHidden/>
    <w:qFormat/>
    <w:rsid w:val="007B6B09"/>
    <w:pPr>
      <w:numPr>
        <w:ilvl w:val="6"/>
      </w:numPr>
      <w:outlineLvl w:val="6"/>
    </w:pPr>
    <w:rPr>
      <w:iCs/>
    </w:rPr>
  </w:style>
  <w:style w:type="paragraph" w:styleId="Heading8">
    <w:name w:val="heading 8"/>
    <w:basedOn w:val="Heading7"/>
    <w:next w:val="Normal"/>
    <w:link w:val="Heading8Char"/>
    <w:uiPriority w:val="9"/>
    <w:semiHidden/>
    <w:qFormat/>
    <w:rsid w:val="007B6B09"/>
    <w:pPr>
      <w:numPr>
        <w:ilvl w:val="7"/>
      </w:numPr>
      <w:outlineLvl w:val="7"/>
    </w:pPr>
    <w:rPr>
      <w:szCs w:val="20"/>
    </w:rPr>
  </w:style>
  <w:style w:type="paragraph" w:styleId="Heading9">
    <w:name w:val="heading 9"/>
    <w:basedOn w:val="Heading8"/>
    <w:next w:val="Normal"/>
    <w:link w:val="Heading9Char"/>
    <w:uiPriority w:val="9"/>
    <w:semiHidden/>
    <w:qFormat/>
    <w:rsid w:val="007B6B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Accent">
    <w:name w:val="MN_Accent"/>
    <w:basedOn w:val="Normal"/>
    <w:next w:val="Normal"/>
    <w:qFormat/>
    <w:rsid w:val="007B6B09"/>
    <w:pPr>
      <w:spacing w:after="200" w:line="276" w:lineRule="auto"/>
    </w:pPr>
    <w:rPr>
      <w:i/>
    </w:rPr>
  </w:style>
  <w:style w:type="paragraph" w:customStyle="1" w:styleId="MNDisclaimer">
    <w:name w:val="MN_Disclaimer"/>
    <w:basedOn w:val="Normal"/>
    <w:next w:val="Normal"/>
    <w:qFormat/>
    <w:rsid w:val="007B6B09"/>
    <w:pPr>
      <w:spacing w:line="230" w:lineRule="atLeast"/>
    </w:pPr>
    <w:rPr>
      <w:rFonts w:eastAsia="Times New Roman"/>
      <w:szCs w:val="20"/>
      <w:lang w:eastAsia="nl-NL"/>
    </w:rPr>
  </w:style>
  <w:style w:type="paragraph" w:customStyle="1" w:styleId="MNDocumentInfo">
    <w:name w:val="MN_DocumentInfo"/>
    <w:basedOn w:val="Normal"/>
    <w:qFormat/>
    <w:rsid w:val="007B6B09"/>
    <w:pPr>
      <w:spacing w:line="280" w:lineRule="exact"/>
    </w:pPr>
    <w:rPr>
      <w:rFonts w:eastAsia="Times New Roman"/>
      <w:szCs w:val="20"/>
      <w:lang w:eastAsia="nl-NL"/>
    </w:rPr>
  </w:style>
  <w:style w:type="paragraph" w:customStyle="1" w:styleId="MNDocumentInfoEmphasized">
    <w:name w:val="MN_DocumentInfoEmphasized"/>
    <w:basedOn w:val="MNDocumentInfo"/>
    <w:next w:val="MNDocumentInfo"/>
    <w:qFormat/>
    <w:rsid w:val="007B6B09"/>
    <w:rPr>
      <w:b/>
    </w:rPr>
  </w:style>
  <w:style w:type="paragraph" w:customStyle="1" w:styleId="MNDocumentInfoHeading">
    <w:name w:val="MN_DocumentInfoHeading"/>
    <w:basedOn w:val="MNDocumentInfo"/>
    <w:qFormat/>
    <w:rsid w:val="007B6B09"/>
    <w:rPr>
      <w:sz w:val="16"/>
    </w:rPr>
  </w:style>
  <w:style w:type="paragraph" w:customStyle="1" w:styleId="MNDocumentTitle">
    <w:name w:val="MN_DocumentTitle"/>
    <w:basedOn w:val="Normal"/>
    <w:next w:val="Normal"/>
    <w:qFormat/>
    <w:rsid w:val="007B6B09"/>
    <w:pPr>
      <w:framePr w:w="2835" w:h="425" w:hRule="exact" w:wrap="around" w:vAnchor="page" w:hAnchor="page" w:x="1702" w:y="1419"/>
    </w:pPr>
    <w:rPr>
      <w:sz w:val="36"/>
    </w:rPr>
  </w:style>
  <w:style w:type="paragraph" w:customStyle="1" w:styleId="MNEntity">
    <w:name w:val="MN_Entity"/>
    <w:basedOn w:val="Normal"/>
    <w:qFormat/>
    <w:rsid w:val="007B6B09"/>
    <w:pPr>
      <w:framePr w:w="2041" w:h="2948" w:hRule="exact" w:wrap="around" w:vAnchor="page" w:hAnchor="page" w:x="8506" w:y="2689"/>
      <w:tabs>
        <w:tab w:val="left" w:pos="142"/>
      </w:tabs>
      <w:spacing w:line="230" w:lineRule="atLeast"/>
    </w:pPr>
    <w:rPr>
      <w:rFonts w:eastAsia="Times New Roman"/>
      <w:noProof/>
      <w:sz w:val="16"/>
      <w:szCs w:val="24"/>
      <w:lang w:eastAsia="nl-NL"/>
    </w:rPr>
  </w:style>
  <w:style w:type="paragraph" w:customStyle="1" w:styleId="MNEntityHeading">
    <w:name w:val="MN_EntityHeading"/>
    <w:basedOn w:val="MNEntity"/>
    <w:next w:val="MNEntity"/>
    <w:qFormat/>
    <w:rsid w:val="007B6B09"/>
    <w:pPr>
      <w:framePr w:wrap="around"/>
    </w:pPr>
    <w:rPr>
      <w:b/>
    </w:rPr>
  </w:style>
  <w:style w:type="paragraph" w:customStyle="1" w:styleId="MNHeading">
    <w:name w:val="MN_Heading"/>
    <w:basedOn w:val="Normal"/>
    <w:next w:val="Normal"/>
    <w:qFormat/>
    <w:rsid w:val="007B6B09"/>
    <w:rPr>
      <w:b/>
      <w:sz w:val="24"/>
      <w:lang w:eastAsia="nl-NL"/>
    </w:rPr>
  </w:style>
  <w:style w:type="paragraph" w:customStyle="1" w:styleId="MNIntroduction">
    <w:name w:val="MN_Introduction"/>
    <w:basedOn w:val="Normal"/>
    <w:qFormat/>
    <w:rsid w:val="007B6B09"/>
    <w:pPr>
      <w:spacing w:line="320" w:lineRule="atLeast"/>
    </w:pPr>
    <w:rPr>
      <w:sz w:val="24"/>
    </w:rPr>
  </w:style>
  <w:style w:type="numbering" w:customStyle="1" w:styleId="MNListBullet">
    <w:name w:val="MN_ListBullet"/>
    <w:uiPriority w:val="99"/>
    <w:rsid w:val="007B6B09"/>
    <w:pPr>
      <w:numPr>
        <w:numId w:val="1"/>
      </w:numPr>
    </w:pPr>
  </w:style>
  <w:style w:type="numbering" w:customStyle="1" w:styleId="MNListCharacter">
    <w:name w:val="MN_ListCharacter"/>
    <w:uiPriority w:val="99"/>
    <w:rsid w:val="007B6B09"/>
    <w:pPr>
      <w:numPr>
        <w:numId w:val="2"/>
      </w:numPr>
    </w:pPr>
  </w:style>
  <w:style w:type="numbering" w:customStyle="1" w:styleId="MNListDash">
    <w:name w:val="MN_ListDash"/>
    <w:uiPriority w:val="99"/>
    <w:rsid w:val="007B6B09"/>
    <w:pPr>
      <w:numPr>
        <w:numId w:val="3"/>
      </w:numPr>
    </w:pPr>
  </w:style>
  <w:style w:type="numbering" w:customStyle="1" w:styleId="MNListnumber">
    <w:name w:val="MN_Listnumber"/>
    <w:uiPriority w:val="99"/>
    <w:rsid w:val="007B6B09"/>
    <w:pPr>
      <w:numPr>
        <w:numId w:val="4"/>
      </w:numPr>
    </w:pPr>
  </w:style>
  <w:style w:type="paragraph" w:customStyle="1" w:styleId="MNSubheading">
    <w:name w:val="MN_Subheading"/>
    <w:basedOn w:val="Normal"/>
    <w:next w:val="Normal"/>
    <w:qFormat/>
    <w:rsid w:val="007B6B09"/>
    <w:rPr>
      <w:b/>
      <w:lang w:eastAsia="nl-NL"/>
    </w:rPr>
  </w:style>
  <w:style w:type="paragraph" w:styleId="Caption">
    <w:name w:val="caption"/>
    <w:basedOn w:val="Normal"/>
    <w:next w:val="Normal"/>
    <w:uiPriority w:val="35"/>
    <w:qFormat/>
    <w:rsid w:val="007B6B09"/>
    <w:pPr>
      <w:spacing w:line="230" w:lineRule="atLeast"/>
    </w:pPr>
    <w:rPr>
      <w:bCs/>
      <w:sz w:val="16"/>
      <w:szCs w:val="18"/>
    </w:rPr>
  </w:style>
  <w:style w:type="character" w:customStyle="1" w:styleId="Heading1Char">
    <w:name w:val="Heading 1 Char"/>
    <w:link w:val="Heading1"/>
    <w:uiPriority w:val="9"/>
    <w:rsid w:val="00B54C7B"/>
    <w:rPr>
      <w:rFonts w:ascii="Georgia" w:eastAsia="Times New Roman" w:hAnsi="Georgia" w:cs="Times New Roman"/>
      <w:bCs/>
      <w:color w:val="1A2A6A"/>
      <w:sz w:val="48"/>
      <w:szCs w:val="28"/>
      <w:lang w:eastAsia="nl-NL"/>
    </w:rPr>
  </w:style>
  <w:style w:type="character" w:customStyle="1" w:styleId="Heading2Char">
    <w:name w:val="Heading 2 Char"/>
    <w:link w:val="Heading2"/>
    <w:uiPriority w:val="9"/>
    <w:rsid w:val="008B67E0"/>
    <w:rPr>
      <w:rFonts w:ascii="Georgia" w:eastAsia="Times New Roman" w:hAnsi="Georgia" w:cs="Times New Roman"/>
      <w:color w:val="35A1DF"/>
      <w:sz w:val="24"/>
      <w:szCs w:val="26"/>
      <w:lang w:eastAsia="nl-NL"/>
    </w:rPr>
  </w:style>
  <w:style w:type="character" w:customStyle="1" w:styleId="Heading3Char">
    <w:name w:val="Heading 3 Char"/>
    <w:basedOn w:val="DefaultParagraphFont"/>
    <w:link w:val="Heading3"/>
    <w:uiPriority w:val="9"/>
    <w:rsid w:val="007B6B09"/>
    <w:rPr>
      <w:rFonts w:ascii="Calibri" w:eastAsiaTheme="majorEastAsia" w:hAnsi="Calibri" w:cstheme="majorBidi"/>
      <w:b/>
      <w:bCs/>
      <w:sz w:val="21"/>
      <w:szCs w:val="26"/>
      <w:lang w:eastAsia="nl-NL"/>
    </w:rPr>
  </w:style>
  <w:style w:type="character" w:customStyle="1" w:styleId="Heading4Char">
    <w:name w:val="Heading 4 Char"/>
    <w:basedOn w:val="DefaultParagraphFont"/>
    <w:link w:val="Heading4"/>
    <w:uiPriority w:val="9"/>
    <w:semiHidden/>
    <w:rsid w:val="007B6B09"/>
    <w:rPr>
      <w:rFonts w:ascii="Calibri" w:eastAsiaTheme="majorEastAsia" w:hAnsi="Calibri" w:cstheme="majorBidi"/>
      <w:b/>
      <w:iCs/>
      <w:sz w:val="21"/>
      <w:szCs w:val="26"/>
      <w:lang w:eastAsia="nl-NL"/>
    </w:rPr>
  </w:style>
  <w:style w:type="character" w:customStyle="1" w:styleId="Heading5Char">
    <w:name w:val="Heading 5 Char"/>
    <w:basedOn w:val="DefaultParagraphFont"/>
    <w:link w:val="Heading5"/>
    <w:uiPriority w:val="9"/>
    <w:semiHidden/>
    <w:rsid w:val="007B6B09"/>
    <w:rPr>
      <w:rFonts w:ascii="Calibri" w:eastAsiaTheme="majorEastAsia" w:hAnsi="Calibri" w:cstheme="majorBidi"/>
      <w:b/>
      <w:iCs/>
      <w:sz w:val="21"/>
      <w:szCs w:val="26"/>
      <w:lang w:eastAsia="nl-NL"/>
    </w:rPr>
  </w:style>
  <w:style w:type="character" w:customStyle="1" w:styleId="Heading6Char">
    <w:name w:val="Heading 6 Char"/>
    <w:basedOn w:val="DefaultParagraphFont"/>
    <w:link w:val="Heading6"/>
    <w:uiPriority w:val="9"/>
    <w:semiHidden/>
    <w:rsid w:val="007B6B09"/>
    <w:rPr>
      <w:rFonts w:ascii="Calibri" w:eastAsiaTheme="majorEastAsia" w:hAnsi="Calibri" w:cstheme="majorBidi"/>
      <w:b/>
      <w:sz w:val="21"/>
      <w:szCs w:val="26"/>
      <w:lang w:eastAsia="nl-NL"/>
    </w:rPr>
  </w:style>
  <w:style w:type="character" w:customStyle="1" w:styleId="Heading7Char">
    <w:name w:val="Heading 7 Char"/>
    <w:basedOn w:val="DefaultParagraphFont"/>
    <w:link w:val="Heading7"/>
    <w:uiPriority w:val="9"/>
    <w:semiHidden/>
    <w:rsid w:val="007B6B09"/>
    <w:rPr>
      <w:rFonts w:ascii="Calibri" w:eastAsiaTheme="majorEastAsia" w:hAnsi="Calibri" w:cstheme="majorBidi"/>
      <w:b/>
      <w:iCs/>
      <w:sz w:val="21"/>
      <w:szCs w:val="26"/>
      <w:lang w:eastAsia="nl-NL"/>
    </w:rPr>
  </w:style>
  <w:style w:type="character" w:customStyle="1" w:styleId="Heading8Char">
    <w:name w:val="Heading 8 Char"/>
    <w:basedOn w:val="DefaultParagraphFont"/>
    <w:link w:val="Heading8"/>
    <w:uiPriority w:val="9"/>
    <w:semiHidden/>
    <w:rsid w:val="007B6B09"/>
    <w:rPr>
      <w:rFonts w:ascii="Calibri" w:eastAsiaTheme="majorEastAsia" w:hAnsi="Calibri" w:cstheme="majorBidi"/>
      <w:b/>
      <w:iCs/>
      <w:sz w:val="21"/>
      <w:szCs w:val="20"/>
      <w:lang w:eastAsia="nl-NL"/>
    </w:rPr>
  </w:style>
  <w:style w:type="character" w:customStyle="1" w:styleId="Heading9Char">
    <w:name w:val="Heading 9 Char"/>
    <w:basedOn w:val="DefaultParagraphFont"/>
    <w:link w:val="Heading9"/>
    <w:uiPriority w:val="9"/>
    <w:semiHidden/>
    <w:rsid w:val="007B6B09"/>
    <w:rPr>
      <w:rFonts w:ascii="Calibri" w:eastAsiaTheme="majorEastAsia" w:hAnsi="Calibri" w:cstheme="majorBidi"/>
      <w:b/>
      <w:sz w:val="21"/>
      <w:szCs w:val="20"/>
      <w:lang w:eastAsia="nl-NL"/>
    </w:rPr>
  </w:style>
  <w:style w:type="paragraph" w:styleId="ListParagraph">
    <w:name w:val="List Paragraph"/>
    <w:basedOn w:val="Normal"/>
    <w:uiPriority w:val="34"/>
    <w:qFormat/>
    <w:rsid w:val="00B54C7B"/>
    <w:pPr>
      <w:spacing w:before="120" w:line="240" w:lineRule="auto"/>
      <w:contextualSpacing/>
    </w:pPr>
    <w:rPr>
      <w:rFonts w:eastAsia="Times New Roman"/>
      <w:szCs w:val="20"/>
    </w:rPr>
  </w:style>
  <w:style w:type="paragraph" w:styleId="Header">
    <w:name w:val="header"/>
    <w:basedOn w:val="Normal"/>
    <w:link w:val="HeaderChar"/>
    <w:uiPriority w:val="99"/>
    <w:unhideWhenUsed/>
    <w:rsid w:val="003F2C7F"/>
    <w:pPr>
      <w:tabs>
        <w:tab w:val="center" w:pos="4513"/>
        <w:tab w:val="right" w:pos="9026"/>
      </w:tabs>
      <w:spacing w:line="240" w:lineRule="auto"/>
    </w:pPr>
  </w:style>
  <w:style w:type="character" w:customStyle="1" w:styleId="HeaderChar">
    <w:name w:val="Header Char"/>
    <w:basedOn w:val="DefaultParagraphFont"/>
    <w:link w:val="Header"/>
    <w:uiPriority w:val="99"/>
    <w:rsid w:val="003F2C7F"/>
    <w:rPr>
      <w:rFonts w:ascii="Georgia" w:hAnsi="Georgia" w:cs="Times New Roman"/>
      <w:sz w:val="21"/>
    </w:rPr>
  </w:style>
  <w:style w:type="paragraph" w:styleId="Footer">
    <w:name w:val="footer"/>
    <w:basedOn w:val="Normal"/>
    <w:link w:val="FooterChar"/>
    <w:uiPriority w:val="99"/>
    <w:unhideWhenUsed/>
    <w:rsid w:val="003F2C7F"/>
    <w:pPr>
      <w:tabs>
        <w:tab w:val="center" w:pos="4513"/>
        <w:tab w:val="right" w:pos="9026"/>
      </w:tabs>
      <w:spacing w:line="240" w:lineRule="auto"/>
    </w:pPr>
  </w:style>
  <w:style w:type="character" w:customStyle="1" w:styleId="FooterChar">
    <w:name w:val="Footer Char"/>
    <w:basedOn w:val="DefaultParagraphFont"/>
    <w:link w:val="Footer"/>
    <w:uiPriority w:val="99"/>
    <w:rsid w:val="003F2C7F"/>
    <w:rPr>
      <w:rFonts w:ascii="Georgia" w:hAnsi="Georgia" w:cs="Times New Roman"/>
      <w:sz w:val="21"/>
    </w:rPr>
  </w:style>
  <w:style w:type="paragraph" w:styleId="TOC2">
    <w:name w:val="toc 2"/>
    <w:basedOn w:val="Normal"/>
    <w:next w:val="Normal"/>
    <w:autoRedefine/>
    <w:uiPriority w:val="39"/>
    <w:unhideWhenUsed/>
    <w:rsid w:val="001843FA"/>
    <w:pPr>
      <w:spacing w:after="100"/>
      <w:ind w:left="210"/>
    </w:pPr>
  </w:style>
  <w:style w:type="paragraph" w:styleId="TOC1">
    <w:name w:val="toc 1"/>
    <w:basedOn w:val="Normal"/>
    <w:next w:val="Normal"/>
    <w:autoRedefine/>
    <w:uiPriority w:val="39"/>
    <w:unhideWhenUsed/>
    <w:rsid w:val="00C97E35"/>
    <w:pPr>
      <w:spacing w:before="120" w:after="220"/>
    </w:pPr>
  </w:style>
  <w:style w:type="character" w:styleId="Hyperlink">
    <w:name w:val="Hyperlink"/>
    <w:basedOn w:val="DefaultParagraphFont"/>
    <w:uiPriority w:val="99"/>
    <w:unhideWhenUsed/>
    <w:rsid w:val="001843FA"/>
    <w:rPr>
      <w:color w:val="0563C1" w:themeColor="hyperlink"/>
      <w:u w:val="single"/>
    </w:rPr>
  </w:style>
  <w:style w:type="paragraph" w:styleId="FootnoteText">
    <w:name w:val="footnote text"/>
    <w:basedOn w:val="Normal"/>
    <w:link w:val="FootnoteTextChar"/>
    <w:uiPriority w:val="99"/>
    <w:unhideWhenUsed/>
    <w:rsid w:val="00920DD2"/>
    <w:pPr>
      <w:spacing w:line="240" w:lineRule="auto"/>
    </w:pPr>
    <w:rPr>
      <w:sz w:val="20"/>
      <w:szCs w:val="20"/>
    </w:rPr>
  </w:style>
  <w:style w:type="character" w:customStyle="1" w:styleId="FootnoteTextChar">
    <w:name w:val="Footnote Text Char"/>
    <w:basedOn w:val="DefaultParagraphFont"/>
    <w:link w:val="FootnoteText"/>
    <w:uiPriority w:val="99"/>
    <w:rsid w:val="00920DD2"/>
    <w:rPr>
      <w:rFonts w:ascii="Georgia" w:hAnsi="Georgia" w:cs="Times New Roman"/>
      <w:sz w:val="20"/>
      <w:szCs w:val="20"/>
    </w:rPr>
  </w:style>
  <w:style w:type="character" w:styleId="FootnoteReference">
    <w:name w:val="footnote reference"/>
    <w:basedOn w:val="DefaultParagraphFont"/>
    <w:uiPriority w:val="99"/>
    <w:unhideWhenUsed/>
    <w:rsid w:val="00920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4140-0F19-4A90-B29F-3052572E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1379</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Mn jaarverslag Best Execution treasury 2017</vt:lpstr>
    </vt:vector>
  </TitlesOfParts>
  <Company>Mn Services Vermogensbeheer B.V.</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jaarverslag Best Execution treasury 2017</dc:title>
  <dc:subject/>
  <dc:creator>Mn Services Vermogensbeheer B.V.</dc:creator>
  <cp:keywords/>
  <dc:description/>
  <cp:lastModifiedBy>Vincent Pieters</cp:lastModifiedBy>
  <cp:revision>3</cp:revision>
  <cp:lastPrinted>2018-04-30T11:56:00Z</cp:lastPrinted>
  <dcterms:created xsi:type="dcterms:W3CDTF">2019-03-28T08:53:00Z</dcterms:created>
  <dcterms:modified xsi:type="dcterms:W3CDTF">2019-03-28T08:58:00Z</dcterms:modified>
</cp:coreProperties>
</file>